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宋体" w:hAnsi="宋体" w:cs="宋体"/>
          <w:b/>
          <w:kern w:val="36"/>
          <w:sz w:val="44"/>
          <w:szCs w:val="44"/>
        </w:rPr>
      </w:pPr>
    </w:p>
    <w:p>
      <w:pPr>
        <w:jc w:val="center"/>
        <w:rPr>
          <w:rFonts w:ascii="宋体" w:hAnsi="宋体" w:cs="宋体"/>
          <w:b/>
          <w:kern w:val="36"/>
          <w:sz w:val="44"/>
          <w:szCs w:val="44"/>
        </w:rPr>
      </w:pPr>
    </w:p>
    <w:p>
      <w:pPr>
        <w:jc w:val="center"/>
        <w:rPr>
          <w:rFonts w:ascii="宋体" w:hAnsi="宋体" w:cs="宋体"/>
          <w:b/>
          <w:kern w:val="36"/>
          <w:sz w:val="44"/>
          <w:szCs w:val="44"/>
        </w:rPr>
      </w:pPr>
      <w:r>
        <w:rPr>
          <w:rFonts w:hint="eastAsia" w:ascii="宋体" w:hAnsi="宋体" w:cs="宋体"/>
          <w:b/>
          <w:kern w:val="36"/>
          <w:sz w:val="44"/>
          <w:szCs w:val="44"/>
        </w:rPr>
        <w:t>西安电力高等专科学校</w:t>
      </w:r>
    </w:p>
    <w:p>
      <w:pPr>
        <w:jc w:val="center"/>
        <w:rPr>
          <w:rFonts w:ascii="宋体" w:hAnsi="宋体" w:cs="宋体"/>
          <w:b/>
          <w:kern w:val="36"/>
          <w:sz w:val="44"/>
          <w:szCs w:val="44"/>
        </w:rPr>
      </w:pPr>
    </w:p>
    <w:p>
      <w:pPr>
        <w:jc w:val="center"/>
        <w:rPr>
          <w:rFonts w:ascii="宋体" w:hAnsi="宋体" w:cs="宋体"/>
          <w:b/>
          <w:kern w:val="36"/>
          <w:sz w:val="44"/>
          <w:szCs w:val="44"/>
        </w:rPr>
      </w:pPr>
    </w:p>
    <w:p>
      <w:pPr>
        <w:jc w:val="center"/>
        <w:rPr>
          <w:rFonts w:ascii="宋体" w:hAnsi="宋体" w:cs="宋体"/>
          <w:b/>
          <w:kern w:val="36"/>
          <w:sz w:val="44"/>
          <w:szCs w:val="44"/>
        </w:rPr>
      </w:pPr>
      <w:r>
        <w:rPr>
          <w:rFonts w:hint="eastAsia" w:ascii="宋体" w:hAnsi="宋体" w:cs="宋体"/>
          <w:b/>
          <w:kern w:val="36"/>
          <w:sz w:val="44"/>
          <w:szCs w:val="44"/>
        </w:rPr>
        <w:t>高等职业教育创新发展行动计划（2015-2018年）</w:t>
      </w:r>
    </w:p>
    <w:p>
      <w:pPr>
        <w:jc w:val="center"/>
        <w:rPr>
          <w:rFonts w:ascii="宋体" w:hAnsi="宋体" w:cs="宋体"/>
          <w:b/>
          <w:kern w:val="36"/>
          <w:sz w:val="44"/>
          <w:szCs w:val="44"/>
        </w:rPr>
      </w:pPr>
    </w:p>
    <w:p>
      <w:pPr>
        <w:jc w:val="center"/>
        <w:rPr>
          <w:rFonts w:ascii="宋体" w:hAnsi="宋体" w:cs="宋体"/>
          <w:b/>
          <w:kern w:val="36"/>
          <w:sz w:val="44"/>
          <w:szCs w:val="44"/>
        </w:rPr>
      </w:pPr>
    </w:p>
    <w:p>
      <w:pPr>
        <w:jc w:val="center"/>
        <w:rPr>
          <w:rFonts w:ascii="宋体" w:hAnsi="宋体" w:cs="宋体"/>
          <w:b/>
          <w:kern w:val="36"/>
          <w:sz w:val="44"/>
          <w:szCs w:val="44"/>
        </w:rPr>
      </w:pPr>
    </w:p>
    <w:p>
      <w:pPr>
        <w:jc w:val="center"/>
        <w:rPr>
          <w:rFonts w:ascii="宋体" w:hAnsi="宋体" w:cs="宋体"/>
          <w:b/>
          <w:kern w:val="36"/>
          <w:sz w:val="44"/>
          <w:szCs w:val="44"/>
        </w:rPr>
      </w:pPr>
    </w:p>
    <w:p>
      <w:pPr>
        <w:jc w:val="center"/>
        <w:rPr>
          <w:rFonts w:ascii="宋体" w:hAnsi="宋体" w:cs="宋体"/>
          <w:b/>
          <w:kern w:val="36"/>
          <w:sz w:val="52"/>
          <w:szCs w:val="52"/>
        </w:rPr>
      </w:pPr>
      <w:r>
        <w:rPr>
          <w:rFonts w:hint="eastAsia" w:ascii="宋体" w:hAnsi="宋体" w:cs="宋体"/>
          <w:b/>
          <w:kern w:val="36"/>
          <w:sz w:val="52"/>
          <w:szCs w:val="52"/>
        </w:rPr>
        <w:t>建设方案</w:t>
      </w:r>
    </w:p>
    <w:p>
      <w:pPr>
        <w:jc w:val="center"/>
        <w:rPr>
          <w:rFonts w:ascii="宋体" w:hAnsi="宋体" w:cs="宋体"/>
          <w:b/>
          <w:kern w:val="36"/>
          <w:sz w:val="52"/>
          <w:szCs w:val="52"/>
        </w:rPr>
      </w:pPr>
    </w:p>
    <w:p>
      <w:pPr>
        <w:jc w:val="center"/>
        <w:rPr>
          <w:rFonts w:ascii="宋体" w:hAnsi="宋体" w:cs="宋体"/>
          <w:b/>
          <w:kern w:val="36"/>
          <w:sz w:val="52"/>
          <w:szCs w:val="52"/>
        </w:rPr>
      </w:pPr>
    </w:p>
    <w:p>
      <w:pPr>
        <w:jc w:val="center"/>
        <w:rPr>
          <w:rFonts w:ascii="宋体" w:hAnsi="宋体" w:cs="宋体"/>
          <w:b/>
          <w:kern w:val="36"/>
          <w:sz w:val="52"/>
          <w:szCs w:val="52"/>
        </w:rPr>
      </w:pPr>
    </w:p>
    <w:p>
      <w:pPr>
        <w:jc w:val="center"/>
        <w:rPr>
          <w:rFonts w:ascii="宋体" w:hAnsi="宋体" w:cs="宋体"/>
          <w:b/>
          <w:kern w:val="36"/>
          <w:sz w:val="52"/>
          <w:szCs w:val="52"/>
        </w:rPr>
      </w:pPr>
    </w:p>
    <w:p>
      <w:pPr>
        <w:jc w:val="center"/>
        <w:rPr>
          <w:rFonts w:ascii="宋体" w:hAnsi="宋体" w:cs="宋体"/>
          <w:b/>
          <w:kern w:val="36"/>
          <w:sz w:val="44"/>
          <w:szCs w:val="44"/>
        </w:rPr>
      </w:pPr>
      <w:r>
        <w:rPr>
          <w:rFonts w:hint="eastAsia" w:ascii="宋体" w:hAnsi="宋体" w:cs="宋体"/>
          <w:b/>
          <w:kern w:val="36"/>
          <w:sz w:val="44"/>
          <w:szCs w:val="44"/>
        </w:rPr>
        <w:t>2016年10月</w:t>
      </w:r>
    </w:p>
    <w:p>
      <w:pPr>
        <w:widowControl/>
        <w:jc w:val="left"/>
        <w:rPr>
          <w:rFonts w:ascii="宋体" w:hAnsi="宋体" w:cs="宋体"/>
          <w:b/>
          <w:kern w:val="36"/>
          <w:sz w:val="44"/>
          <w:szCs w:val="44"/>
        </w:rPr>
      </w:pPr>
      <w:r>
        <w:rPr>
          <w:rFonts w:ascii="宋体" w:hAnsi="宋体" w:cs="宋体"/>
          <w:b/>
          <w:kern w:val="36"/>
          <w:sz w:val="44"/>
          <w:szCs w:val="44"/>
        </w:rPr>
        <w:br w:type="page"/>
      </w:r>
    </w:p>
    <w:p>
      <w:pPr>
        <w:spacing w:line="360" w:lineRule="auto"/>
        <w:ind w:firstLine="640" w:firstLineChars="200"/>
        <w:jc w:val="left"/>
        <w:rPr>
          <w:rFonts w:ascii="仿宋" w:hAnsi="仿宋" w:eastAsia="仿宋"/>
          <w:sz w:val="32"/>
          <w:szCs w:val="32"/>
        </w:rPr>
      </w:pPr>
      <w:r>
        <w:rPr>
          <w:rFonts w:ascii="仿宋" w:hAnsi="仿宋" w:eastAsia="仿宋" w:cs="宋体"/>
          <w:kern w:val="36"/>
          <w:sz w:val="32"/>
          <w:szCs w:val="32"/>
        </w:rPr>
        <w:t>根据陕西省教育厅</w:t>
      </w:r>
      <w:r>
        <w:rPr>
          <w:rFonts w:hint="eastAsia" w:ascii="仿宋" w:hAnsi="仿宋" w:eastAsia="仿宋" w:cs="宋体"/>
          <w:kern w:val="36"/>
          <w:sz w:val="32"/>
          <w:szCs w:val="32"/>
        </w:rPr>
        <w:t>“</w:t>
      </w:r>
      <w:r>
        <w:rPr>
          <w:rFonts w:hint="eastAsia" w:ascii="仿宋" w:hAnsi="仿宋" w:eastAsia="仿宋" w:cs="宋体"/>
          <w:color w:val="4E4E4E"/>
          <w:kern w:val="36"/>
          <w:sz w:val="32"/>
          <w:szCs w:val="32"/>
        </w:rPr>
        <w:t>关于做好高等职业教育创新发展行动计划（2015-2018年）任务（项目）申报工作的通知</w:t>
      </w:r>
      <w:r>
        <w:rPr>
          <w:rFonts w:hint="eastAsia" w:ascii="仿宋" w:hAnsi="仿宋" w:eastAsia="仿宋" w:cs="宋体"/>
          <w:kern w:val="36"/>
          <w:sz w:val="32"/>
          <w:szCs w:val="32"/>
        </w:rPr>
        <w:t>”（</w:t>
      </w:r>
      <w:r>
        <w:rPr>
          <w:rFonts w:ascii="仿宋" w:hAnsi="仿宋" w:eastAsia="仿宋" w:cs="宋体"/>
          <w:color w:val="000000"/>
          <w:kern w:val="0"/>
          <w:sz w:val="32"/>
          <w:szCs w:val="32"/>
        </w:rPr>
        <w:t>陕教高办〔2016〕41号</w:t>
      </w:r>
      <w:r>
        <w:rPr>
          <w:rFonts w:hint="eastAsia" w:ascii="仿宋" w:hAnsi="仿宋" w:eastAsia="仿宋" w:cs="宋体"/>
          <w:kern w:val="36"/>
          <w:sz w:val="32"/>
          <w:szCs w:val="32"/>
        </w:rPr>
        <w:t>）文件要求，按照教育部“高等职业教育创新发展行动计划2015-2018”(教职成[2015]9号)文件精神，</w:t>
      </w:r>
      <w:r>
        <w:rPr>
          <w:rFonts w:hint="eastAsia" w:ascii="仿宋" w:hAnsi="仿宋" w:eastAsia="仿宋" w:cs="Times New Roman"/>
          <w:sz w:val="32"/>
          <w:szCs w:val="32"/>
        </w:rPr>
        <w:t>结合学校实际情况，特制定《西安电力高等专科学校</w:t>
      </w:r>
      <w:r>
        <w:rPr>
          <w:rFonts w:hint="eastAsia" w:ascii="仿宋" w:hAnsi="仿宋" w:eastAsia="仿宋" w:cs="宋体"/>
          <w:kern w:val="36"/>
          <w:sz w:val="32"/>
          <w:szCs w:val="32"/>
        </w:rPr>
        <w:t>高等职业教育创新发展行动计划（2015-2018年）</w:t>
      </w:r>
      <w:r>
        <w:rPr>
          <w:rFonts w:hint="eastAsia" w:ascii="仿宋" w:hAnsi="仿宋" w:eastAsia="仿宋" w:cs="Times New Roman"/>
          <w:sz w:val="32"/>
          <w:szCs w:val="32"/>
        </w:rPr>
        <w:t>》建设方案</w:t>
      </w:r>
      <w:r>
        <w:rPr>
          <w:rFonts w:hint="eastAsia" w:ascii="仿宋" w:hAnsi="仿宋" w:eastAsia="仿宋"/>
          <w:sz w:val="32"/>
          <w:szCs w:val="32"/>
        </w:rPr>
        <w:t>。</w:t>
      </w:r>
    </w:p>
    <w:p>
      <w:pPr>
        <w:spacing w:line="360" w:lineRule="auto"/>
        <w:ind w:firstLine="643" w:firstLineChars="200"/>
        <w:jc w:val="left"/>
        <w:rPr>
          <w:rFonts w:ascii="仿宋" w:hAnsi="仿宋" w:eastAsia="仿宋" w:cs="宋体"/>
          <w:b/>
          <w:kern w:val="36"/>
          <w:sz w:val="32"/>
          <w:szCs w:val="32"/>
        </w:rPr>
      </w:pPr>
      <w:r>
        <w:rPr>
          <w:rFonts w:hint="eastAsia" w:ascii="仿宋" w:hAnsi="仿宋" w:eastAsia="仿宋" w:cs="宋体"/>
          <w:b/>
          <w:kern w:val="36"/>
          <w:sz w:val="32"/>
          <w:szCs w:val="32"/>
        </w:rPr>
        <w:t>一、</w:t>
      </w:r>
      <w:r>
        <w:rPr>
          <w:rFonts w:ascii="仿宋" w:hAnsi="仿宋" w:eastAsia="仿宋" w:cs="宋体"/>
          <w:b/>
          <w:kern w:val="36"/>
          <w:sz w:val="32"/>
          <w:szCs w:val="32"/>
        </w:rPr>
        <w:t>工作基础</w:t>
      </w:r>
    </w:p>
    <w:p>
      <w:pPr>
        <w:spacing w:line="360" w:lineRule="auto"/>
        <w:ind w:firstLine="640" w:firstLineChars="200"/>
        <w:jc w:val="left"/>
        <w:rPr>
          <w:rFonts w:ascii="仿宋" w:hAnsi="仿宋" w:eastAsia="仿宋"/>
          <w:sz w:val="32"/>
          <w:szCs w:val="32"/>
        </w:rPr>
      </w:pPr>
      <w:r>
        <w:rPr>
          <w:rFonts w:hint="eastAsia" w:ascii="仿宋" w:hAnsi="仿宋" w:eastAsia="仿宋" w:cs="Times New Roman"/>
          <w:sz w:val="32"/>
          <w:szCs w:val="32"/>
        </w:rPr>
        <w:t>西安电力高等专科学校的前身是西安电力学校，创建于1953年。1980年经国家教育部确立为全国重点中等专业学校。1994年3月升格为西安电力高等专科学校。2007年在教育部高职高专人才培养工作水平评估中获得“优秀”</w:t>
      </w:r>
      <w:r>
        <w:rPr>
          <w:rFonts w:hint="eastAsia" w:ascii="仿宋" w:hAnsi="仿宋" w:eastAsia="仿宋"/>
          <w:sz w:val="32"/>
          <w:szCs w:val="32"/>
        </w:rPr>
        <w:t>。</w:t>
      </w:r>
      <w:r>
        <w:rPr>
          <w:rFonts w:hint="eastAsia" w:ascii="仿宋" w:hAnsi="仿宋" w:eastAsia="仿宋" w:cs="Times New Roman"/>
          <w:sz w:val="32"/>
          <w:szCs w:val="32"/>
        </w:rPr>
        <w:t>20</w:t>
      </w:r>
      <w:r>
        <w:rPr>
          <w:rFonts w:hint="eastAsia" w:ascii="仿宋" w:hAnsi="仿宋" w:eastAsia="仿宋"/>
          <w:sz w:val="32"/>
          <w:szCs w:val="32"/>
        </w:rPr>
        <w:t>14</w:t>
      </w:r>
      <w:r>
        <w:rPr>
          <w:rFonts w:hint="eastAsia" w:ascii="仿宋" w:hAnsi="仿宋" w:eastAsia="仿宋" w:cs="Times New Roman"/>
          <w:sz w:val="32"/>
          <w:szCs w:val="32"/>
        </w:rPr>
        <w:t>年成为省级示范性高等职业院校。学校隶属于国家电网公司陕西省电力公司。学校作为西北地区唯一一所电力类高等职业院校，承担着为社会输送德才兼备电力类高素质技能型专门人才的责任和义务。五十多年来，学校坚持“重德育人、精严细实、产学结合、服务电力”的教育理念和“重德敬业、勤学强能”的校训，为国家电力事业培养了数以万计的高素质技能型专门人才和企业管理人才，享有“西北电力黄埔”的美誉。</w:t>
      </w:r>
    </w:p>
    <w:p>
      <w:pPr>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学校一校四址办学，现有本部、南校区、灞桥校区和咸阳校区四个校区。学校设有6个教学系部，在校全日制大专学生2061名，教师281人，校区面积404.4亩。是一所集大专学历教育、成人本科教育、职工培训、技能鉴定为一体从事高等职业教育的公办全日制高等学校，主要培养面向生产、建设、管理、服务第一线的技术技能人才。</w:t>
      </w:r>
    </w:p>
    <w:p>
      <w:pPr>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学校坚持“依托电网、面向社会、服务企业”的理念，按照服务电力发展、服务区域经济、发挥优势、突出特色、创建精品的思路，创新并形成了“三体现，五结合”的“工学结合”的人才培养模式，建成了发电、供电、继电、输电、热动、集控等带有鲜明电力行业特色的品牌专业。各专业创新人才培养模式，构建新型课程体系，开发优质专业核心课程，完善实践教学设施，培养专兼结合的师资队伍，进一步完善校企交融共育人的运行机制，彰显电力职业教育的鲜明特色，全面提高人才培养质量，形成“根植电力，校企交融共育人”的办学特色。</w:t>
      </w:r>
    </w:p>
    <w:p>
      <w:pPr>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五年来，学校发挥企业办学的优势，通过建立校企合作长效机制，创新“工学结合”的人才培养模式，推进“项目导向、任务驱动”的课程建设，人才培养工作质量稳步提高。8个专业被评为省级重点专业，6门课程被评为省级精品课程，3名教师被评为陕西普通高等学校教学名师，承担了4项陕西省高职高专教育教学改革与建设研究项目，学生多次在全国大学生数学建模竞赛、电子设计大赛、中澳合作办学技能竞赛等大赛中获得优异成绩。三年来学校招生第一志愿报考上线率平均超过238%，录取最低分数线仅低于二本分数线，毕业生就业率平均超过93%；2015年毕业生目前就业率已达到80%，呈现了“招生、就业”两旺的良好局面。</w:t>
      </w:r>
    </w:p>
    <w:p>
      <w:pPr>
        <w:spacing w:line="360" w:lineRule="auto"/>
        <w:ind w:firstLine="640" w:firstLineChars="200"/>
        <w:jc w:val="left"/>
        <w:rPr>
          <w:rFonts w:ascii="仿宋" w:hAnsi="仿宋" w:eastAsia="仿宋"/>
          <w:sz w:val="32"/>
          <w:szCs w:val="32"/>
        </w:rPr>
      </w:pPr>
      <w:r>
        <w:rPr>
          <w:rFonts w:hint="eastAsia" w:ascii="仿宋" w:hAnsi="仿宋" w:eastAsia="仿宋" w:cs="Times New Roman"/>
          <w:sz w:val="32"/>
          <w:szCs w:val="32"/>
        </w:rPr>
        <w:t>五年来，学校承担陕西省教育厅教学改革研究项目</w:t>
      </w:r>
      <w:r>
        <w:rPr>
          <w:rFonts w:ascii="仿宋" w:hAnsi="仿宋" w:eastAsia="仿宋" w:cs="Times New Roman"/>
          <w:sz w:val="32"/>
          <w:szCs w:val="32"/>
        </w:rPr>
        <w:t>11</w:t>
      </w:r>
      <w:r>
        <w:rPr>
          <w:rFonts w:hint="eastAsia" w:ascii="仿宋" w:hAnsi="仿宋" w:eastAsia="仿宋" w:cs="Times New Roman"/>
          <w:sz w:val="32"/>
          <w:szCs w:val="32"/>
        </w:rPr>
        <w:t>个、企业委托项目</w:t>
      </w:r>
      <w:r>
        <w:rPr>
          <w:rFonts w:ascii="仿宋" w:hAnsi="仿宋" w:eastAsia="仿宋" w:cs="Times New Roman"/>
          <w:sz w:val="32"/>
          <w:szCs w:val="32"/>
        </w:rPr>
        <w:t>20</w:t>
      </w:r>
      <w:r>
        <w:rPr>
          <w:rFonts w:hint="eastAsia" w:ascii="仿宋" w:hAnsi="仿宋" w:eastAsia="仿宋" w:cs="Times New Roman"/>
          <w:sz w:val="32"/>
          <w:szCs w:val="32"/>
        </w:rPr>
        <w:t>个，获得地市、厅局级科技一等奖</w:t>
      </w:r>
      <w:r>
        <w:rPr>
          <w:rFonts w:ascii="仿宋" w:hAnsi="仿宋" w:eastAsia="仿宋" w:cs="Times New Roman"/>
          <w:sz w:val="32"/>
          <w:szCs w:val="32"/>
        </w:rPr>
        <w:t>2</w:t>
      </w:r>
      <w:r>
        <w:rPr>
          <w:rFonts w:hint="eastAsia" w:ascii="仿宋" w:hAnsi="仿宋" w:eastAsia="仿宋" w:cs="Times New Roman"/>
          <w:sz w:val="32"/>
          <w:szCs w:val="32"/>
        </w:rPr>
        <w:t>个、二等奖</w:t>
      </w:r>
      <w:r>
        <w:rPr>
          <w:rFonts w:ascii="仿宋" w:hAnsi="仿宋" w:eastAsia="仿宋" w:cs="Times New Roman"/>
          <w:sz w:val="32"/>
          <w:szCs w:val="32"/>
        </w:rPr>
        <w:t>8</w:t>
      </w:r>
      <w:r>
        <w:rPr>
          <w:rFonts w:hint="eastAsia" w:ascii="仿宋" w:hAnsi="仿宋" w:eastAsia="仿宋" w:cs="Times New Roman"/>
          <w:sz w:val="32"/>
          <w:szCs w:val="32"/>
        </w:rPr>
        <w:t>个、三等奖</w:t>
      </w:r>
      <w:r>
        <w:rPr>
          <w:rFonts w:ascii="仿宋" w:hAnsi="仿宋" w:eastAsia="仿宋" w:cs="Times New Roman"/>
          <w:sz w:val="32"/>
          <w:szCs w:val="32"/>
        </w:rPr>
        <w:t>35</w:t>
      </w:r>
      <w:r>
        <w:rPr>
          <w:rFonts w:hint="eastAsia" w:ascii="仿宋" w:hAnsi="仿宋" w:eastAsia="仿宋" w:cs="Times New Roman"/>
          <w:sz w:val="32"/>
          <w:szCs w:val="32"/>
        </w:rPr>
        <w:t>个，取得专利授权</w:t>
      </w:r>
      <w:r>
        <w:rPr>
          <w:rFonts w:ascii="仿宋" w:hAnsi="仿宋" w:eastAsia="仿宋" w:cs="Times New Roman"/>
          <w:sz w:val="32"/>
          <w:szCs w:val="32"/>
        </w:rPr>
        <w:t>14</w:t>
      </w:r>
      <w:r>
        <w:rPr>
          <w:rFonts w:hint="eastAsia" w:ascii="仿宋" w:hAnsi="仿宋" w:eastAsia="仿宋" w:cs="Times New Roman"/>
          <w:sz w:val="32"/>
          <w:szCs w:val="32"/>
        </w:rPr>
        <w:t>项，发表学术论文</w:t>
      </w:r>
      <w:r>
        <w:rPr>
          <w:rFonts w:ascii="仿宋" w:hAnsi="仿宋" w:eastAsia="仿宋" w:cs="Times New Roman"/>
          <w:sz w:val="32"/>
          <w:szCs w:val="32"/>
        </w:rPr>
        <w:t>157</w:t>
      </w:r>
      <w:r>
        <w:rPr>
          <w:rFonts w:hint="eastAsia" w:ascii="仿宋" w:hAnsi="仿宋" w:eastAsia="仿宋" w:cs="Times New Roman"/>
          <w:sz w:val="32"/>
          <w:szCs w:val="32"/>
        </w:rPr>
        <w:t>篇，取得省教育厅批准的科技创新团队</w:t>
      </w:r>
      <w:r>
        <w:rPr>
          <w:rFonts w:ascii="仿宋" w:hAnsi="仿宋" w:eastAsia="仿宋" w:cs="Times New Roman"/>
          <w:sz w:val="32"/>
          <w:szCs w:val="32"/>
        </w:rPr>
        <w:t>3</w:t>
      </w:r>
      <w:r>
        <w:rPr>
          <w:rFonts w:hint="eastAsia" w:ascii="仿宋" w:hAnsi="仿宋" w:eastAsia="仿宋" w:cs="Times New Roman"/>
          <w:sz w:val="32"/>
          <w:szCs w:val="32"/>
        </w:rPr>
        <w:t>个。学校组织学生参加国家级和省部级各类竞赛，获得数学建模竞赛等国家级一等奖1项、二等奖4项，技能竞赛等省级一等奖3项、二等奖6项、三等奖6项，电子设计大赛等省部级一等奖9项、二等奖10项、三等奖23项，体现了学校办学水平和学生综合能力。</w:t>
      </w:r>
    </w:p>
    <w:p>
      <w:pPr>
        <w:spacing w:line="360" w:lineRule="auto"/>
        <w:ind w:firstLine="643" w:firstLineChars="200"/>
        <w:jc w:val="left"/>
        <w:rPr>
          <w:rFonts w:ascii="仿宋" w:hAnsi="仿宋" w:eastAsia="仿宋" w:cs="宋体"/>
          <w:b/>
          <w:kern w:val="36"/>
          <w:sz w:val="32"/>
          <w:szCs w:val="32"/>
        </w:rPr>
      </w:pPr>
      <w:r>
        <w:rPr>
          <w:rFonts w:ascii="仿宋" w:hAnsi="仿宋" w:eastAsia="仿宋" w:cs="宋体"/>
          <w:b/>
          <w:kern w:val="36"/>
          <w:sz w:val="32"/>
          <w:szCs w:val="32"/>
        </w:rPr>
        <w:t>二</w:t>
      </w:r>
      <w:r>
        <w:rPr>
          <w:rFonts w:hint="eastAsia" w:ascii="仿宋" w:hAnsi="仿宋" w:eastAsia="仿宋" w:cs="宋体"/>
          <w:b/>
          <w:kern w:val="36"/>
          <w:sz w:val="32"/>
          <w:szCs w:val="32"/>
        </w:rPr>
        <w:t>、</w:t>
      </w:r>
      <w:r>
        <w:rPr>
          <w:rFonts w:ascii="仿宋" w:hAnsi="仿宋" w:eastAsia="仿宋" w:cs="宋体"/>
          <w:b/>
          <w:kern w:val="36"/>
          <w:sz w:val="32"/>
          <w:szCs w:val="32"/>
        </w:rPr>
        <w:t>主要目标</w:t>
      </w:r>
    </w:p>
    <w:p>
      <w:pPr>
        <w:pStyle w:val="11"/>
        <w:spacing w:line="560" w:lineRule="atLeast"/>
        <w:ind w:firstLine="560"/>
        <w:jc w:val="left"/>
        <w:rPr>
          <w:rFonts w:ascii="仿宋" w:hAnsi="仿宋" w:eastAsia="仿宋"/>
          <w:kern w:val="2"/>
          <w:sz w:val="32"/>
          <w:szCs w:val="32"/>
        </w:rPr>
      </w:pPr>
      <w:r>
        <w:rPr>
          <w:rFonts w:hint="eastAsia" w:ascii="仿宋" w:hAnsi="仿宋" w:eastAsia="仿宋"/>
          <w:kern w:val="2"/>
          <w:sz w:val="32"/>
          <w:szCs w:val="32"/>
        </w:rPr>
        <w:t>通过三年建设，使得学校整体实力显著增强，人才培养的结构更加合理、质量持续提高，服务电力行业的能力和服务经济社会发展的水平显著提升。按照“依托电力、校企共建、注重内涵、教培融合、突出特色”的建设目标，不断探索市场经济条件下企业办学模式，充分发挥企业办学优势，加大校企结合力度，创新人才培养模式，构建新型课程体系，开发优质专业核心课程，完善实践教学设施，培养专兼结合的师资队伍，进一步完善校企交融共育人的运行机制，彰显企业举办电力职业教育的鲜明特色，全面提高人才培养质量。</w:t>
      </w:r>
    </w:p>
    <w:p>
      <w:pPr>
        <w:spacing w:line="360" w:lineRule="auto"/>
        <w:ind w:firstLine="643" w:firstLineChars="200"/>
        <w:jc w:val="left"/>
        <w:rPr>
          <w:rFonts w:ascii="仿宋" w:hAnsi="仿宋" w:eastAsia="仿宋" w:cs="Times New Roman"/>
          <w:b/>
          <w:sz w:val="32"/>
          <w:szCs w:val="32"/>
        </w:rPr>
      </w:pPr>
      <w:r>
        <w:rPr>
          <w:rFonts w:hint="eastAsia" w:ascii="仿宋" w:hAnsi="仿宋" w:eastAsia="仿宋" w:cs="Times New Roman"/>
          <w:b/>
          <w:sz w:val="32"/>
          <w:szCs w:val="32"/>
        </w:rPr>
        <w:t>1.依托电力</w:t>
      </w:r>
    </w:p>
    <w:p>
      <w:pPr>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充分发挥企业办学的优势，依托电力，服务电力，在学校发展、专业建设、师资队伍建设、实训基地建设等方面依托陕西省电力公司，强化学校服务企业、服务社会的职能，形成校企互动、资源共享的协调、统筹、持续的企业办学新机制。</w:t>
      </w:r>
    </w:p>
    <w:p>
      <w:pPr>
        <w:spacing w:line="360" w:lineRule="auto"/>
        <w:ind w:firstLine="643" w:firstLineChars="200"/>
        <w:jc w:val="left"/>
        <w:rPr>
          <w:rFonts w:ascii="仿宋" w:hAnsi="仿宋" w:eastAsia="仿宋" w:cs="Times New Roman"/>
          <w:b/>
          <w:sz w:val="32"/>
          <w:szCs w:val="32"/>
        </w:rPr>
      </w:pPr>
      <w:r>
        <w:rPr>
          <w:rFonts w:hint="eastAsia" w:ascii="仿宋" w:hAnsi="仿宋" w:eastAsia="仿宋" w:cs="Times New Roman"/>
          <w:b/>
          <w:sz w:val="32"/>
          <w:szCs w:val="32"/>
        </w:rPr>
        <w:t>2.校企共建</w:t>
      </w:r>
    </w:p>
    <w:p>
      <w:pPr>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充分利用企业人力和财力资源，以校企共建师资队伍为抓手，校企共同组建专业建设委员会来指导专业建设和改革，共同研究专业人才培养模式，共同构建新型课程体系，共同建设教学培训相融合的实训基地，共同培养专兼结合的师资队伍，形成“校企互动、资源共享”的长效机制。</w:t>
      </w:r>
    </w:p>
    <w:p>
      <w:pPr>
        <w:spacing w:line="360" w:lineRule="auto"/>
        <w:ind w:firstLine="643" w:firstLineChars="200"/>
        <w:jc w:val="left"/>
        <w:rPr>
          <w:rFonts w:ascii="仿宋" w:hAnsi="仿宋" w:eastAsia="仿宋" w:cs="Times New Roman"/>
          <w:b/>
          <w:sz w:val="32"/>
          <w:szCs w:val="32"/>
        </w:rPr>
      </w:pPr>
      <w:r>
        <w:rPr>
          <w:rFonts w:hint="eastAsia" w:ascii="仿宋" w:hAnsi="仿宋" w:eastAsia="仿宋" w:cs="Times New Roman"/>
          <w:b/>
          <w:sz w:val="32"/>
          <w:szCs w:val="32"/>
        </w:rPr>
        <w:t>3.注重内涵</w:t>
      </w:r>
    </w:p>
    <w:p>
      <w:pPr>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加强职业教育内涵建设，突出以就业为导向，以就业岗位知识、技能、素质需求为核心，构建“工学结合”的人才培养模式，构建基于工作过程的新型课程体系，以专业核心课程改革为突破口，进行“做、学、教”一体化教学改革，建设特色鲜明、定位准确的优质专业核心课程和精品课程。</w:t>
      </w:r>
    </w:p>
    <w:p>
      <w:pPr>
        <w:spacing w:line="360" w:lineRule="auto"/>
        <w:ind w:firstLine="643" w:firstLineChars="200"/>
        <w:jc w:val="left"/>
        <w:rPr>
          <w:rFonts w:ascii="仿宋" w:hAnsi="仿宋" w:eastAsia="仿宋" w:cs="Times New Roman"/>
          <w:b/>
          <w:sz w:val="32"/>
          <w:szCs w:val="32"/>
        </w:rPr>
      </w:pPr>
      <w:r>
        <w:rPr>
          <w:rFonts w:hint="eastAsia" w:ascii="仿宋" w:hAnsi="仿宋" w:eastAsia="仿宋" w:cs="Times New Roman"/>
          <w:b/>
          <w:sz w:val="32"/>
          <w:szCs w:val="32"/>
        </w:rPr>
        <w:t>4.教培融合</w:t>
      </w:r>
    </w:p>
    <w:p>
      <w:pPr>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通过“共建师资队伍、共建实训基地、共同开发教学资源”，实现校企资源共享，通过统一规划职前教育与职后培训体系，使企业对学校支持最大化，使学校对企业服务最大化，实现教育与培训相互融合、相互促进、共同发展，探索高等职业教育的办学新模式。</w:t>
      </w:r>
    </w:p>
    <w:p>
      <w:pPr>
        <w:spacing w:line="360" w:lineRule="auto"/>
        <w:ind w:firstLine="643" w:firstLineChars="200"/>
        <w:jc w:val="left"/>
        <w:rPr>
          <w:rFonts w:ascii="仿宋" w:hAnsi="仿宋" w:eastAsia="仿宋" w:cs="Times New Roman"/>
          <w:b/>
          <w:sz w:val="32"/>
          <w:szCs w:val="32"/>
        </w:rPr>
      </w:pPr>
      <w:r>
        <w:rPr>
          <w:rFonts w:hint="eastAsia" w:ascii="仿宋" w:hAnsi="仿宋" w:eastAsia="仿宋" w:cs="Times New Roman"/>
          <w:b/>
          <w:sz w:val="32"/>
          <w:szCs w:val="32"/>
        </w:rPr>
        <w:t>5.突出特色</w:t>
      </w:r>
    </w:p>
    <w:p>
      <w:pPr>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发挥企业办学的优势，促进校企共同进行人才培养，在人才培养模式创新、教学改革与建设、师资队伍建设、实训基地建设等方面，突出学校特色，更好的服务学生、服务电力、服务社会。</w:t>
      </w:r>
    </w:p>
    <w:p>
      <w:pPr>
        <w:spacing w:line="360" w:lineRule="auto"/>
        <w:ind w:firstLine="643" w:firstLineChars="200"/>
        <w:jc w:val="left"/>
        <w:rPr>
          <w:rFonts w:ascii="仿宋" w:hAnsi="仿宋" w:eastAsia="仿宋" w:cs="宋体"/>
          <w:b/>
          <w:kern w:val="36"/>
          <w:sz w:val="32"/>
          <w:szCs w:val="32"/>
        </w:rPr>
      </w:pPr>
      <w:r>
        <w:rPr>
          <w:rFonts w:hint="eastAsia" w:ascii="仿宋" w:hAnsi="仿宋" w:eastAsia="仿宋" w:cs="宋体"/>
          <w:b/>
          <w:kern w:val="36"/>
          <w:sz w:val="32"/>
          <w:szCs w:val="32"/>
        </w:rPr>
        <w:t>三、</w:t>
      </w:r>
      <w:r>
        <w:rPr>
          <w:rFonts w:ascii="仿宋" w:hAnsi="仿宋" w:eastAsia="仿宋" w:cs="宋体"/>
          <w:b/>
          <w:kern w:val="36"/>
          <w:sz w:val="32"/>
          <w:szCs w:val="32"/>
        </w:rPr>
        <w:t>总体规划</w:t>
      </w:r>
    </w:p>
    <w:p>
      <w:pPr>
        <w:pStyle w:val="12"/>
        <w:spacing w:line="360" w:lineRule="auto"/>
        <w:ind w:firstLine="640" w:firstLineChars="200"/>
        <w:rPr>
          <w:rFonts w:ascii="仿宋" w:hAnsi="仿宋" w:eastAsia="仿宋" w:cs="宋体"/>
          <w:bCs/>
          <w:sz w:val="32"/>
          <w:szCs w:val="32"/>
        </w:rPr>
      </w:pPr>
      <w:r>
        <w:rPr>
          <w:rFonts w:hint="eastAsia" w:ascii="仿宋" w:hAnsi="仿宋" w:eastAsia="仿宋" w:cs="宋体"/>
          <w:bCs/>
          <w:sz w:val="32"/>
          <w:szCs w:val="32"/>
        </w:rPr>
        <w:t>通过建设，将学校建成高等职业教育质量稳定，培训教育与学历教育有机融合；人才培养模式先进，校企合作融洽，教学资源优质的人才培养基地。使学校成为特色鲜明、国内一流高等职业技术院校。</w:t>
      </w:r>
    </w:p>
    <w:p>
      <w:pPr>
        <w:pStyle w:val="12"/>
        <w:spacing w:line="360" w:lineRule="auto"/>
        <w:ind w:firstLine="643" w:firstLineChars="200"/>
        <w:rPr>
          <w:rFonts w:ascii="仿宋" w:hAnsi="仿宋" w:eastAsia="仿宋"/>
          <w:b/>
          <w:sz w:val="32"/>
          <w:szCs w:val="32"/>
        </w:rPr>
      </w:pPr>
      <w:bookmarkStart w:id="0" w:name="_Toc272140030"/>
      <w:r>
        <w:rPr>
          <w:rFonts w:hint="eastAsia" w:ascii="仿宋" w:hAnsi="仿宋" w:eastAsia="仿宋" w:cs="宋体"/>
          <w:b/>
          <w:bCs/>
          <w:sz w:val="32"/>
          <w:szCs w:val="32"/>
        </w:rPr>
        <w:t>1.</w:t>
      </w:r>
      <w:r>
        <w:rPr>
          <w:rFonts w:hint="eastAsia" w:ascii="仿宋" w:hAnsi="仿宋" w:eastAsia="仿宋" w:cs="Times New Roman"/>
          <w:b/>
          <w:sz w:val="32"/>
          <w:szCs w:val="32"/>
        </w:rPr>
        <w:t>控制规模，适度发展</w:t>
      </w:r>
      <w:bookmarkEnd w:id="0"/>
    </w:p>
    <w:p>
      <w:pPr>
        <w:pStyle w:val="12"/>
        <w:spacing w:line="360" w:lineRule="auto"/>
        <w:ind w:firstLine="640" w:firstLineChars="200"/>
        <w:rPr>
          <w:rFonts w:ascii="仿宋" w:hAnsi="仿宋" w:eastAsia="仿宋" w:cs="Times New Roman"/>
          <w:sz w:val="32"/>
          <w:szCs w:val="32"/>
        </w:rPr>
      </w:pPr>
      <w:r>
        <w:rPr>
          <w:rFonts w:hint="eastAsia" w:ascii="仿宋" w:hAnsi="仿宋" w:eastAsia="仿宋"/>
          <w:sz w:val="32"/>
          <w:szCs w:val="32"/>
        </w:rPr>
        <w:t>学校</w:t>
      </w:r>
      <w:r>
        <w:rPr>
          <w:rFonts w:hint="eastAsia" w:ascii="仿宋" w:hAnsi="仿宋" w:eastAsia="仿宋" w:cs="Times New Roman"/>
          <w:sz w:val="32"/>
          <w:szCs w:val="32"/>
        </w:rPr>
        <w:t>在册学生规模达到2500人左右，其中：全日制高职在校生规模在</w:t>
      </w:r>
      <w:r>
        <w:rPr>
          <w:rFonts w:ascii="仿宋" w:hAnsi="仿宋" w:eastAsia="仿宋" w:cs="Times New Roman"/>
          <w:sz w:val="32"/>
          <w:szCs w:val="32"/>
        </w:rPr>
        <w:t>2340</w:t>
      </w:r>
      <w:r>
        <w:rPr>
          <w:rFonts w:hint="eastAsia" w:ascii="仿宋" w:hAnsi="仿宋" w:eastAsia="仿宋" w:cs="Times New Roman"/>
          <w:sz w:val="32"/>
          <w:szCs w:val="32"/>
        </w:rPr>
        <w:t>人左右，年招生</w:t>
      </w:r>
      <w:r>
        <w:rPr>
          <w:rFonts w:ascii="仿宋" w:hAnsi="仿宋" w:eastAsia="仿宋" w:cs="Times New Roman"/>
          <w:sz w:val="32"/>
          <w:szCs w:val="32"/>
        </w:rPr>
        <w:t>780</w:t>
      </w:r>
      <w:r>
        <w:rPr>
          <w:rFonts w:hint="eastAsia" w:ascii="仿宋" w:hAnsi="仿宋" w:eastAsia="仿宋" w:cs="Times New Roman"/>
          <w:sz w:val="32"/>
          <w:szCs w:val="32"/>
        </w:rPr>
        <w:t>人左右。除普通高考录取外，自</w:t>
      </w:r>
      <w:r>
        <w:rPr>
          <w:rFonts w:ascii="仿宋" w:hAnsi="仿宋" w:eastAsia="仿宋" w:cs="Times New Roman"/>
          <w:sz w:val="32"/>
          <w:szCs w:val="32"/>
        </w:rPr>
        <w:t>2015</w:t>
      </w:r>
      <w:r>
        <w:rPr>
          <w:rFonts w:hint="eastAsia" w:ascii="仿宋" w:hAnsi="仿宋" w:eastAsia="仿宋" w:cs="Times New Roman"/>
          <w:sz w:val="32"/>
          <w:szCs w:val="32"/>
        </w:rPr>
        <w:t>年起，按照省教育厅要求，我校实施单独考试招生，录取比例为当年在陕计划数</w:t>
      </w:r>
      <w:r>
        <w:rPr>
          <w:rFonts w:ascii="仿宋" w:hAnsi="仿宋" w:eastAsia="仿宋" w:cs="Times New Roman"/>
          <w:sz w:val="32"/>
          <w:szCs w:val="32"/>
        </w:rPr>
        <w:t>50%</w:t>
      </w:r>
      <w:r>
        <w:rPr>
          <w:rFonts w:hint="eastAsia" w:ascii="仿宋" w:hAnsi="仿宋" w:eastAsia="仿宋" w:cs="Times New Roman"/>
          <w:sz w:val="32"/>
          <w:szCs w:val="32"/>
        </w:rPr>
        <w:t>，以后逐年增加，</w:t>
      </w:r>
      <w:r>
        <w:rPr>
          <w:rFonts w:ascii="仿宋" w:hAnsi="仿宋" w:eastAsia="仿宋" w:cs="Times New Roman"/>
          <w:sz w:val="32"/>
          <w:szCs w:val="32"/>
        </w:rPr>
        <w:t>2017</w:t>
      </w:r>
      <w:r>
        <w:rPr>
          <w:rFonts w:hint="eastAsia" w:ascii="仿宋" w:hAnsi="仿宋" w:eastAsia="仿宋" w:cs="Times New Roman"/>
          <w:sz w:val="32"/>
          <w:szCs w:val="32"/>
        </w:rPr>
        <w:t>年成为主渠道。自</w:t>
      </w:r>
      <w:r>
        <w:rPr>
          <w:rFonts w:ascii="仿宋" w:hAnsi="仿宋" w:eastAsia="仿宋" w:cs="Times New Roman"/>
          <w:sz w:val="32"/>
          <w:szCs w:val="32"/>
        </w:rPr>
        <w:t>2015—2020</w:t>
      </w:r>
      <w:r>
        <w:rPr>
          <w:rFonts w:hint="eastAsia" w:ascii="仿宋" w:hAnsi="仿宋" w:eastAsia="仿宋" w:cs="Times New Roman"/>
          <w:sz w:val="32"/>
          <w:szCs w:val="32"/>
        </w:rPr>
        <w:t>年，国家电网公司为解决艰苦偏远地区供电企业生产一线人才短缺的问题，开展艰苦偏远地区高校学生定向培养工作，我校承担</w:t>
      </w:r>
      <w:r>
        <w:rPr>
          <w:rFonts w:ascii="仿宋" w:hAnsi="仿宋" w:eastAsia="仿宋" w:cs="Times New Roman"/>
          <w:sz w:val="32"/>
          <w:szCs w:val="32"/>
        </w:rPr>
        <w:t>80</w:t>
      </w:r>
      <w:r>
        <w:rPr>
          <w:rFonts w:hint="eastAsia" w:ascii="仿宋" w:hAnsi="仿宋" w:eastAsia="仿宋" w:cs="Times New Roman"/>
          <w:sz w:val="32"/>
          <w:szCs w:val="32"/>
        </w:rPr>
        <w:t>人左右的录取和培养工作。</w:t>
      </w:r>
    </w:p>
    <w:p>
      <w:pPr>
        <w:pStyle w:val="12"/>
        <w:spacing w:line="360" w:lineRule="auto"/>
        <w:ind w:firstLine="643" w:firstLineChars="200"/>
        <w:rPr>
          <w:rFonts w:ascii="仿宋" w:hAnsi="仿宋" w:eastAsia="仿宋"/>
          <w:b/>
          <w:sz w:val="32"/>
          <w:szCs w:val="32"/>
        </w:rPr>
      </w:pPr>
      <w:r>
        <w:rPr>
          <w:rFonts w:hint="eastAsia" w:ascii="仿宋" w:hAnsi="仿宋" w:eastAsia="仿宋"/>
          <w:b/>
          <w:sz w:val="32"/>
          <w:szCs w:val="32"/>
        </w:rPr>
        <w:t>2.</w:t>
      </w:r>
      <w:r>
        <w:rPr>
          <w:rFonts w:hint="eastAsia" w:ascii="仿宋" w:hAnsi="仿宋" w:eastAsia="仿宋" w:cs="Times New Roman"/>
          <w:b/>
          <w:sz w:val="32"/>
          <w:szCs w:val="32"/>
        </w:rPr>
        <w:t>优化专业结构，打造品牌专业</w:t>
      </w:r>
    </w:p>
    <w:p>
      <w:pPr>
        <w:pStyle w:val="12"/>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围绕省级重点专业以及“专业综合改革试点”项目，优化专业布局，办精电力、动力类核心专业，保持信通、管理专业稳定发展，控制培训中心普通高职教育专业到12个左右（含中澳办学）,</w:t>
      </w:r>
      <w:r>
        <w:rPr>
          <w:rFonts w:hint="eastAsia" w:ascii="仿宋" w:hAnsi="仿宋" w:eastAsia="仿宋" w:cs="宋体"/>
          <w:color w:val="000000"/>
          <w:kern w:val="0"/>
          <w:sz w:val="32"/>
          <w:szCs w:val="32"/>
        </w:rPr>
        <w:t>积极申报</w:t>
      </w:r>
      <w:r>
        <w:rPr>
          <w:rFonts w:ascii="仿宋" w:hAnsi="仿宋" w:eastAsia="仿宋" w:cs="宋体"/>
          <w:color w:val="000000"/>
          <w:kern w:val="0"/>
          <w:sz w:val="32"/>
          <w:szCs w:val="32"/>
        </w:rPr>
        <w:t>新能源发电工程类新专业</w:t>
      </w:r>
      <w:r>
        <w:rPr>
          <w:rFonts w:hint="eastAsia" w:ascii="仿宋" w:hAnsi="仿宋" w:eastAsia="仿宋" w:cs="宋体"/>
          <w:color w:val="000000"/>
          <w:kern w:val="0"/>
          <w:sz w:val="32"/>
          <w:szCs w:val="32"/>
        </w:rPr>
        <w:t>，开设</w:t>
      </w:r>
      <w:r>
        <w:rPr>
          <w:rFonts w:ascii="仿宋" w:hAnsi="仿宋" w:eastAsia="仿宋" w:cs="宋体"/>
          <w:color w:val="000000"/>
          <w:kern w:val="0"/>
          <w:sz w:val="32"/>
          <w:szCs w:val="32"/>
        </w:rPr>
        <w:t>光伏发电技术与应用</w:t>
      </w: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风力发电工程技术</w:t>
      </w: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风电系统运行与维护和生物质能应用技术等新专业</w:t>
      </w:r>
      <w:r>
        <w:rPr>
          <w:rFonts w:hint="eastAsia" w:ascii="仿宋" w:hAnsi="仿宋" w:eastAsia="仿宋" w:cs="宋体"/>
          <w:color w:val="000000"/>
          <w:kern w:val="0"/>
          <w:sz w:val="32"/>
          <w:szCs w:val="32"/>
        </w:rPr>
        <w:t>。</w:t>
      </w:r>
    </w:p>
    <w:p>
      <w:pPr>
        <w:pStyle w:val="12"/>
        <w:spacing w:line="360" w:lineRule="auto"/>
        <w:ind w:firstLine="643" w:firstLineChars="200"/>
        <w:rPr>
          <w:rFonts w:ascii="仿宋" w:hAnsi="仿宋" w:eastAsia="仿宋"/>
          <w:b/>
          <w:sz w:val="32"/>
          <w:szCs w:val="32"/>
        </w:rPr>
      </w:pPr>
      <w:bookmarkStart w:id="1" w:name="_Toc272140032"/>
      <w:r>
        <w:rPr>
          <w:rFonts w:hint="eastAsia" w:ascii="仿宋" w:hAnsi="仿宋" w:eastAsia="仿宋"/>
          <w:b/>
          <w:sz w:val="32"/>
          <w:szCs w:val="32"/>
        </w:rPr>
        <w:t>3.</w:t>
      </w:r>
      <w:r>
        <w:rPr>
          <w:rFonts w:hint="eastAsia" w:ascii="仿宋" w:hAnsi="仿宋" w:eastAsia="仿宋" w:cs="Times New Roman"/>
          <w:b/>
          <w:sz w:val="32"/>
          <w:szCs w:val="32"/>
        </w:rPr>
        <w:t>加强课程改革，建设</w:t>
      </w:r>
      <w:bookmarkEnd w:id="1"/>
      <w:r>
        <w:rPr>
          <w:rFonts w:hint="eastAsia" w:ascii="仿宋" w:hAnsi="仿宋" w:eastAsia="仿宋"/>
          <w:b/>
          <w:sz w:val="32"/>
          <w:szCs w:val="32"/>
        </w:rPr>
        <w:t>优质教学资源</w:t>
      </w:r>
    </w:p>
    <w:p>
      <w:pPr>
        <w:pStyle w:val="12"/>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研究和开展在线开放课程的建设，以原有的省级、校级精品课及相关课程资源为依托，打造一批是以"慕课"为代表的、课程应用与教学服务相融通的符合我校具体情况的优质在线开放课程。争取建成一到两门国家级在线开放课程</w:t>
      </w:r>
      <w:r>
        <w:rPr>
          <w:rFonts w:hint="eastAsia" w:ascii="仿宋" w:hAnsi="仿宋" w:eastAsia="仿宋"/>
          <w:sz w:val="32"/>
          <w:szCs w:val="32"/>
        </w:rPr>
        <w:t>，建成1-2个优质专业教学资源库</w:t>
      </w:r>
      <w:r>
        <w:rPr>
          <w:rFonts w:hint="eastAsia" w:ascii="仿宋" w:hAnsi="仿宋" w:eastAsia="仿宋" w:cs="Times New Roman"/>
          <w:sz w:val="32"/>
          <w:szCs w:val="32"/>
        </w:rPr>
        <w:t>。</w:t>
      </w:r>
    </w:p>
    <w:p>
      <w:pPr>
        <w:pStyle w:val="12"/>
        <w:spacing w:line="360" w:lineRule="auto"/>
        <w:ind w:firstLine="643" w:firstLineChars="200"/>
        <w:rPr>
          <w:rFonts w:ascii="仿宋" w:hAnsi="仿宋" w:eastAsia="仿宋"/>
          <w:b/>
          <w:sz w:val="32"/>
          <w:szCs w:val="32"/>
        </w:rPr>
      </w:pPr>
      <w:bookmarkStart w:id="2" w:name="_Toc272140033"/>
      <w:r>
        <w:rPr>
          <w:rFonts w:hint="eastAsia" w:ascii="仿宋" w:hAnsi="仿宋" w:eastAsia="仿宋"/>
          <w:b/>
          <w:sz w:val="32"/>
          <w:szCs w:val="32"/>
        </w:rPr>
        <w:t>4.</w:t>
      </w:r>
      <w:r>
        <w:rPr>
          <w:rFonts w:hint="eastAsia" w:ascii="仿宋" w:hAnsi="仿宋" w:eastAsia="仿宋" w:cs="Times New Roman"/>
          <w:b/>
          <w:sz w:val="32"/>
          <w:szCs w:val="32"/>
        </w:rPr>
        <w:t>加强就业指导，提升创业能力，提高就业水平</w:t>
      </w:r>
    </w:p>
    <w:p>
      <w:pPr>
        <w:pStyle w:val="12"/>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完善就业指导服务体系，开拓并推进就业市场建设，开展学生创业培训。就业率达到</w:t>
      </w:r>
      <w:r>
        <w:rPr>
          <w:rFonts w:ascii="仿宋" w:hAnsi="仿宋" w:eastAsia="仿宋" w:cs="Times New Roman"/>
          <w:sz w:val="32"/>
          <w:szCs w:val="32"/>
        </w:rPr>
        <w:t>90%</w:t>
      </w:r>
      <w:r>
        <w:rPr>
          <w:rFonts w:hint="eastAsia" w:ascii="仿宋" w:hAnsi="仿宋" w:eastAsia="仿宋" w:cs="Times New Roman"/>
          <w:sz w:val="32"/>
          <w:szCs w:val="32"/>
        </w:rPr>
        <w:t>以上。</w:t>
      </w:r>
      <w:bookmarkEnd w:id="2"/>
    </w:p>
    <w:p>
      <w:pPr>
        <w:pStyle w:val="12"/>
        <w:spacing w:line="360" w:lineRule="auto"/>
        <w:ind w:firstLine="643" w:firstLineChars="200"/>
        <w:rPr>
          <w:rFonts w:ascii="仿宋" w:hAnsi="仿宋" w:eastAsia="仿宋"/>
          <w:b/>
          <w:sz w:val="32"/>
          <w:szCs w:val="32"/>
        </w:rPr>
      </w:pPr>
      <w:bookmarkStart w:id="3" w:name="_Toc272140035"/>
      <w:r>
        <w:rPr>
          <w:rFonts w:hint="eastAsia" w:ascii="仿宋" w:hAnsi="仿宋" w:eastAsia="仿宋"/>
          <w:b/>
          <w:sz w:val="32"/>
          <w:szCs w:val="32"/>
        </w:rPr>
        <w:t>5.</w:t>
      </w:r>
      <w:r>
        <w:rPr>
          <w:rFonts w:hint="eastAsia" w:ascii="仿宋" w:hAnsi="仿宋" w:eastAsia="仿宋" w:cs="Times New Roman"/>
          <w:b/>
          <w:sz w:val="32"/>
          <w:szCs w:val="32"/>
        </w:rPr>
        <w:t>规范国际合作办学机制，加强对外交流，促进教学改革与</w:t>
      </w:r>
      <w:bookmarkEnd w:id="3"/>
      <w:r>
        <w:rPr>
          <w:rFonts w:hint="eastAsia" w:ascii="仿宋" w:hAnsi="仿宋" w:eastAsia="仿宋" w:cs="Times New Roman"/>
          <w:b/>
          <w:sz w:val="32"/>
          <w:szCs w:val="32"/>
        </w:rPr>
        <w:t>建设</w:t>
      </w:r>
    </w:p>
    <w:p>
      <w:pPr>
        <w:pStyle w:val="12"/>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依托中澳合作办学平台，加强与澳方及平台内院校的合作交流；合作办学在校生规模控制在300人左右，打造陕西高职教育国际合作办学品牌。</w:t>
      </w:r>
    </w:p>
    <w:p>
      <w:pPr>
        <w:pStyle w:val="12"/>
        <w:spacing w:line="360" w:lineRule="auto"/>
        <w:ind w:firstLine="643" w:firstLineChars="200"/>
        <w:rPr>
          <w:rFonts w:ascii="仿宋" w:hAnsi="仿宋" w:eastAsia="仿宋"/>
          <w:b/>
          <w:sz w:val="32"/>
          <w:szCs w:val="32"/>
        </w:rPr>
      </w:pPr>
      <w:r>
        <w:rPr>
          <w:rFonts w:hint="eastAsia" w:ascii="仿宋" w:hAnsi="仿宋" w:eastAsia="仿宋"/>
          <w:b/>
          <w:sz w:val="32"/>
          <w:szCs w:val="32"/>
        </w:rPr>
        <w:t>6.</w:t>
      </w:r>
      <w:r>
        <w:rPr>
          <w:rFonts w:hint="eastAsia" w:ascii="仿宋" w:hAnsi="仿宋" w:eastAsia="仿宋" w:cs="Times New Roman"/>
          <w:b/>
          <w:sz w:val="32"/>
          <w:szCs w:val="32"/>
        </w:rPr>
        <w:t>建立校企合作共同育人的长效机制</w:t>
      </w:r>
    </w:p>
    <w:p>
      <w:pPr>
        <w:pStyle w:val="12"/>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发挥企业办学优势，建立校企携手进行专业建设、课程建设的长效机制，建立顶岗实习人才培养长效机制，建立企业专家参与教学的长效机制，充分发挥企业在人才培养过程中的作用。</w:t>
      </w:r>
    </w:p>
    <w:p>
      <w:pPr>
        <w:pStyle w:val="12"/>
        <w:spacing w:line="360" w:lineRule="auto"/>
        <w:ind w:firstLine="643" w:firstLineChars="200"/>
        <w:rPr>
          <w:rFonts w:ascii="仿宋" w:hAnsi="仿宋" w:eastAsia="仿宋"/>
          <w:b/>
          <w:sz w:val="32"/>
          <w:szCs w:val="32"/>
        </w:rPr>
      </w:pPr>
      <w:r>
        <w:rPr>
          <w:rFonts w:hint="eastAsia" w:ascii="仿宋" w:hAnsi="仿宋" w:eastAsia="仿宋"/>
          <w:b/>
          <w:sz w:val="32"/>
          <w:szCs w:val="32"/>
        </w:rPr>
        <w:t>7.</w:t>
      </w:r>
      <w:r>
        <w:rPr>
          <w:rFonts w:hint="eastAsia" w:ascii="仿宋" w:hAnsi="仿宋" w:eastAsia="仿宋" w:cs="Times New Roman"/>
          <w:b/>
          <w:sz w:val="32"/>
          <w:szCs w:val="32"/>
        </w:rPr>
        <w:t>完善教育教学管理标准体系和教学质量监控体系</w:t>
      </w:r>
    </w:p>
    <w:p>
      <w:pPr>
        <w:pStyle w:val="12"/>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完善教学管理、学生管理和教学质量管理的规范和流程，加快信息化建设，建立教育教学标准化管理体系和教学质量监控体系，提高管理水平，促进人才培养质量。研究当代学生心理、生理特点，分析当代学生思想状态和行为习惯，进一步完善学生管理制度和激励机制，实施教书育人、管理育人、服务育人，规范学生管理流程，提高学生管理水平。</w:t>
      </w:r>
    </w:p>
    <w:p>
      <w:pPr>
        <w:pStyle w:val="12"/>
        <w:spacing w:line="360" w:lineRule="auto"/>
        <w:ind w:firstLine="643" w:firstLineChars="200"/>
        <w:rPr>
          <w:rFonts w:ascii="仿宋" w:hAnsi="仿宋" w:eastAsia="仿宋"/>
          <w:b/>
          <w:sz w:val="32"/>
          <w:szCs w:val="32"/>
        </w:rPr>
      </w:pPr>
      <w:r>
        <w:rPr>
          <w:rFonts w:hint="eastAsia" w:ascii="仿宋" w:hAnsi="仿宋" w:eastAsia="仿宋"/>
          <w:b/>
          <w:sz w:val="32"/>
          <w:szCs w:val="32"/>
        </w:rPr>
        <w:t>8.</w:t>
      </w:r>
      <w:r>
        <w:rPr>
          <w:rFonts w:hint="eastAsia" w:ascii="仿宋" w:hAnsi="仿宋" w:eastAsia="仿宋" w:cs="Times New Roman"/>
          <w:b/>
          <w:sz w:val="32"/>
          <w:szCs w:val="32"/>
        </w:rPr>
        <w:t>加强素质拓展教育，提高学生综合素质</w:t>
      </w:r>
    </w:p>
    <w:p>
      <w:pPr>
        <w:pStyle w:val="12"/>
        <w:spacing w:line="360" w:lineRule="auto"/>
        <w:ind w:firstLine="640" w:firstLineChars="200"/>
        <w:rPr>
          <w:rFonts w:ascii="仿宋" w:hAnsi="仿宋" w:eastAsia="仿宋"/>
          <w:sz w:val="32"/>
          <w:szCs w:val="32"/>
        </w:rPr>
      </w:pPr>
      <w:r>
        <w:rPr>
          <w:rFonts w:hint="eastAsia" w:ascii="仿宋" w:hAnsi="仿宋" w:eastAsia="仿宋" w:cs="Times New Roman"/>
          <w:sz w:val="32"/>
          <w:szCs w:val="32"/>
        </w:rPr>
        <w:t>根据专业人才培养目标和培养规格，开发适合高职学生特点的素质拓展教育课程，提高学生综合素质，培养合格的职业人和社会人。</w:t>
      </w:r>
    </w:p>
    <w:p>
      <w:pPr>
        <w:pStyle w:val="12"/>
        <w:spacing w:line="360" w:lineRule="auto"/>
        <w:ind w:firstLine="643" w:firstLineChars="200"/>
        <w:rPr>
          <w:rFonts w:ascii="仿宋" w:hAnsi="仿宋" w:eastAsia="仿宋"/>
          <w:b/>
          <w:sz w:val="32"/>
          <w:szCs w:val="32"/>
        </w:rPr>
      </w:pPr>
      <w:r>
        <w:rPr>
          <w:rFonts w:hint="eastAsia" w:ascii="仿宋" w:hAnsi="仿宋" w:eastAsia="仿宋"/>
          <w:b/>
          <w:sz w:val="32"/>
          <w:szCs w:val="32"/>
        </w:rPr>
        <w:t>9.开展</w:t>
      </w:r>
      <w:r>
        <w:rPr>
          <w:rFonts w:hint="eastAsia" w:ascii="仿宋" w:hAnsi="仿宋" w:eastAsia="仿宋" w:cs="Times New Roman"/>
          <w:b/>
          <w:sz w:val="32"/>
          <w:szCs w:val="32"/>
        </w:rPr>
        <w:t>创新创业教育</w:t>
      </w:r>
      <w:r>
        <w:rPr>
          <w:rFonts w:hint="eastAsia" w:ascii="仿宋" w:hAnsi="仿宋" w:eastAsia="仿宋"/>
          <w:b/>
          <w:sz w:val="32"/>
          <w:szCs w:val="32"/>
        </w:rPr>
        <w:t>，培养学生创新创业意识和能力</w:t>
      </w:r>
    </w:p>
    <w:p>
      <w:pPr>
        <w:pStyle w:val="12"/>
        <w:spacing w:line="360" w:lineRule="auto"/>
        <w:ind w:firstLine="640" w:firstLineChars="200"/>
        <w:rPr>
          <w:rFonts w:ascii="仿宋" w:hAnsi="仿宋" w:eastAsia="仿宋"/>
          <w:sz w:val="32"/>
          <w:szCs w:val="32"/>
        </w:rPr>
      </w:pPr>
      <w:r>
        <w:rPr>
          <w:rFonts w:hint="eastAsia" w:ascii="仿宋" w:hAnsi="仿宋" w:eastAsia="仿宋"/>
          <w:sz w:val="32"/>
          <w:szCs w:val="32"/>
        </w:rPr>
        <w:t>大力推进创新创业教育，提升学生实践创新能力。深化创新创业教育改革，将深化创新创业教育改革作为推进教育教学综合改革的突破口，树立先进的创新创业教育理念，以提升学生的社会责任感、创新精神和创业能力为核心，以改革人才培养模式和课程体系为重点，将创新创业教育融入人才培养全过程，大力推进我校创新创业教育工作。强化创新创业理念和意识，健全创新创业教育课程体系，加强教师创新创业教育教学能力建设，打造创新创业实践平台，不断改进教学方法和评价方式，建立创新创业教育激励机制，全面提高学生创新创业能力和人才培养质量。</w:t>
      </w:r>
    </w:p>
    <w:p>
      <w:pPr>
        <w:pStyle w:val="12"/>
        <w:spacing w:line="360" w:lineRule="auto"/>
        <w:ind w:firstLine="643" w:firstLineChars="200"/>
        <w:rPr>
          <w:rFonts w:ascii="仿宋" w:hAnsi="仿宋" w:eastAsia="仿宋" w:cs="Times New Roman"/>
          <w:b/>
          <w:sz w:val="32"/>
          <w:szCs w:val="32"/>
        </w:rPr>
      </w:pPr>
      <w:r>
        <w:rPr>
          <w:rFonts w:hint="eastAsia" w:ascii="仿宋" w:hAnsi="仿宋" w:eastAsia="仿宋" w:cs="Times New Roman"/>
          <w:b/>
          <w:sz w:val="32"/>
          <w:szCs w:val="32"/>
        </w:rPr>
        <w:t>10.校企共建的生产性实训基地建设，建设职业能力培养虚拟仿真实训中心</w:t>
      </w:r>
    </w:p>
    <w:p>
      <w:pPr>
        <w:pStyle w:val="12"/>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通过建设完善实训基地设施、提升基地管理水平和加强实训项目开发三个方面的持续工作，</w:t>
      </w:r>
      <w:r>
        <w:rPr>
          <w:rFonts w:hint="eastAsia" w:ascii="仿宋" w:hAnsi="仿宋" w:eastAsia="仿宋"/>
          <w:sz w:val="32"/>
          <w:szCs w:val="32"/>
        </w:rPr>
        <w:t>建设输配电实训基地、热力设备及辅助系统实训基地等8个校企共建的生产性实训基地，建设火电厂虚拟仿真实训中心、变电仿真实训基地等3个职业能力培养虚拟仿真实训中心。</w:t>
      </w:r>
      <w:r>
        <w:rPr>
          <w:rFonts w:hint="eastAsia" w:ascii="仿宋" w:hAnsi="仿宋" w:eastAsia="仿宋" w:cs="Times New Roman"/>
          <w:sz w:val="32"/>
          <w:szCs w:val="32"/>
        </w:rPr>
        <w:t>实训基地建设达到技术先进、覆盖面广、针对性强、实用性好、功能完善，满足</w:t>
      </w:r>
      <w:r>
        <w:rPr>
          <w:rFonts w:hint="eastAsia" w:ascii="仿宋" w:hAnsi="仿宋" w:eastAsia="仿宋"/>
          <w:sz w:val="32"/>
          <w:szCs w:val="32"/>
        </w:rPr>
        <w:t>教育和培训教</w:t>
      </w:r>
      <w:r>
        <w:rPr>
          <w:rFonts w:hint="eastAsia" w:ascii="仿宋" w:hAnsi="仿宋" w:eastAsia="仿宋" w:cs="Times New Roman"/>
          <w:sz w:val="32"/>
          <w:szCs w:val="32"/>
        </w:rPr>
        <w:t>需求，兼备技术研发功能</w:t>
      </w:r>
      <w:r>
        <w:rPr>
          <w:rFonts w:hint="eastAsia" w:ascii="仿宋" w:hAnsi="仿宋" w:eastAsia="仿宋"/>
          <w:sz w:val="32"/>
          <w:szCs w:val="32"/>
        </w:rPr>
        <w:t>，实现</w:t>
      </w:r>
      <w:r>
        <w:rPr>
          <w:rFonts w:hint="eastAsia" w:ascii="仿宋" w:hAnsi="仿宋" w:eastAsia="仿宋" w:cs="Times New Roman"/>
          <w:sz w:val="32"/>
          <w:szCs w:val="32"/>
        </w:rPr>
        <w:t>实训基地建设标准一流、实训基地设施运行管理规范、管理体系健全完善</w:t>
      </w:r>
      <w:r>
        <w:rPr>
          <w:rFonts w:hint="eastAsia" w:ascii="仿宋" w:hAnsi="仿宋" w:eastAsia="仿宋"/>
          <w:sz w:val="32"/>
          <w:szCs w:val="32"/>
        </w:rPr>
        <w:t>的目标。</w:t>
      </w:r>
      <w:r>
        <w:rPr>
          <w:rFonts w:hint="eastAsia" w:ascii="仿宋" w:hAnsi="仿宋" w:eastAsia="仿宋" w:cs="Times New Roman"/>
          <w:sz w:val="32"/>
          <w:szCs w:val="32"/>
        </w:rPr>
        <w:t>将</w:t>
      </w:r>
      <w:r>
        <w:rPr>
          <w:rFonts w:hint="eastAsia" w:ascii="仿宋" w:hAnsi="仿宋" w:eastAsia="仿宋"/>
          <w:sz w:val="32"/>
          <w:szCs w:val="32"/>
        </w:rPr>
        <w:t>学校</w:t>
      </w:r>
      <w:r>
        <w:rPr>
          <w:rFonts w:hint="eastAsia" w:ascii="仿宋" w:hAnsi="仿宋" w:eastAsia="仿宋" w:cs="Times New Roman"/>
          <w:sz w:val="32"/>
          <w:szCs w:val="32"/>
        </w:rPr>
        <w:t>实训基地建设成为布局合理、设施齐全、特色鲜明、功能全面、技术先进、管理规范、标准健全的全国同行业一流高技能人才</w:t>
      </w:r>
      <w:r>
        <w:rPr>
          <w:rFonts w:hint="eastAsia" w:ascii="仿宋" w:hAnsi="仿宋" w:eastAsia="仿宋"/>
          <w:sz w:val="32"/>
          <w:szCs w:val="32"/>
        </w:rPr>
        <w:t>培养</w:t>
      </w:r>
      <w:r>
        <w:rPr>
          <w:rFonts w:hint="eastAsia" w:ascii="仿宋" w:hAnsi="仿宋" w:eastAsia="仿宋" w:cs="Times New Roman"/>
          <w:sz w:val="32"/>
          <w:szCs w:val="32"/>
        </w:rPr>
        <w:t>基地。</w:t>
      </w:r>
    </w:p>
    <w:p>
      <w:pPr>
        <w:spacing w:line="360" w:lineRule="auto"/>
        <w:ind w:firstLine="643" w:firstLineChars="200"/>
        <w:jc w:val="left"/>
        <w:rPr>
          <w:rFonts w:ascii="仿宋" w:hAnsi="仿宋" w:eastAsia="仿宋" w:cs="宋体"/>
          <w:b/>
          <w:kern w:val="36"/>
          <w:sz w:val="32"/>
          <w:szCs w:val="32"/>
        </w:rPr>
      </w:pPr>
      <w:r>
        <w:rPr>
          <w:rFonts w:hint="eastAsia" w:ascii="仿宋" w:hAnsi="仿宋" w:eastAsia="仿宋" w:cs="宋体"/>
          <w:b/>
          <w:kern w:val="36"/>
          <w:sz w:val="32"/>
          <w:szCs w:val="32"/>
        </w:rPr>
        <w:t>四、</w:t>
      </w:r>
      <w:r>
        <w:rPr>
          <w:rFonts w:ascii="仿宋" w:hAnsi="仿宋" w:eastAsia="仿宋" w:cs="宋体"/>
          <w:b/>
          <w:kern w:val="36"/>
          <w:sz w:val="32"/>
          <w:szCs w:val="32"/>
        </w:rPr>
        <w:t>具体举措</w:t>
      </w:r>
    </w:p>
    <w:p>
      <w:pPr>
        <w:spacing w:line="360" w:lineRule="auto"/>
        <w:ind w:firstLine="643" w:firstLineChars="200"/>
        <w:jc w:val="left"/>
        <w:rPr>
          <w:rFonts w:ascii="仿宋" w:hAnsi="仿宋" w:eastAsia="仿宋" w:cs="宋体"/>
          <w:b/>
          <w:kern w:val="36"/>
          <w:sz w:val="32"/>
          <w:szCs w:val="32"/>
        </w:rPr>
      </w:pPr>
      <w:bookmarkStart w:id="4" w:name="_Toc433011406"/>
      <w:r>
        <w:rPr>
          <w:rFonts w:hint="eastAsia" w:ascii="仿宋" w:hAnsi="仿宋" w:eastAsia="仿宋" w:cs="宋体"/>
          <w:b/>
          <w:kern w:val="36"/>
          <w:sz w:val="32"/>
          <w:szCs w:val="32"/>
        </w:rPr>
        <w:t>（一）扩大优质教育资源</w:t>
      </w:r>
      <w:bookmarkEnd w:id="4"/>
    </w:p>
    <w:p>
      <w:pPr>
        <w:pStyle w:val="12"/>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根据</w:t>
      </w:r>
      <w:r>
        <w:rPr>
          <w:rFonts w:hint="eastAsia" w:ascii="仿宋" w:hAnsi="仿宋" w:eastAsia="仿宋"/>
          <w:sz w:val="32"/>
          <w:szCs w:val="32"/>
        </w:rPr>
        <w:t>电力行业和</w:t>
      </w:r>
      <w:r>
        <w:rPr>
          <w:rFonts w:hint="eastAsia" w:ascii="仿宋" w:hAnsi="仿宋" w:eastAsia="仿宋" w:cs="Times New Roman"/>
          <w:sz w:val="32"/>
          <w:szCs w:val="32"/>
        </w:rPr>
        <w:t>区域</w:t>
      </w:r>
      <w:r>
        <w:rPr>
          <w:rFonts w:hint="eastAsia" w:ascii="仿宋" w:hAnsi="仿宋" w:eastAsia="仿宋"/>
          <w:sz w:val="32"/>
          <w:szCs w:val="32"/>
        </w:rPr>
        <w:t>经济社会发展需求</w:t>
      </w:r>
      <w:r>
        <w:rPr>
          <w:rFonts w:hint="eastAsia" w:ascii="仿宋" w:hAnsi="仿宋" w:eastAsia="仿宋" w:cs="Times New Roman"/>
          <w:sz w:val="32"/>
          <w:szCs w:val="32"/>
        </w:rPr>
        <w:t>，以专业建设为重点，提升</w:t>
      </w:r>
      <w:r>
        <w:rPr>
          <w:rFonts w:hint="eastAsia" w:ascii="仿宋" w:hAnsi="仿宋" w:eastAsia="仿宋"/>
          <w:sz w:val="32"/>
          <w:szCs w:val="32"/>
        </w:rPr>
        <w:t>教学</w:t>
      </w:r>
      <w:r>
        <w:rPr>
          <w:rFonts w:hint="eastAsia" w:ascii="仿宋" w:hAnsi="仿宋" w:eastAsia="仿宋" w:cs="Times New Roman"/>
          <w:sz w:val="32"/>
          <w:szCs w:val="32"/>
        </w:rPr>
        <w:t>质量、创新发展形式、扩大优质教育资源，提高</w:t>
      </w:r>
      <w:r>
        <w:rPr>
          <w:rFonts w:hint="eastAsia" w:ascii="仿宋" w:hAnsi="仿宋" w:eastAsia="仿宋"/>
          <w:sz w:val="32"/>
          <w:szCs w:val="32"/>
        </w:rPr>
        <w:t>学校在电力行业和</w:t>
      </w:r>
      <w:r>
        <w:rPr>
          <w:rFonts w:hint="eastAsia" w:ascii="仿宋" w:hAnsi="仿宋" w:eastAsia="仿宋" w:cs="Times New Roman"/>
          <w:sz w:val="32"/>
          <w:szCs w:val="32"/>
        </w:rPr>
        <w:t>区域社会认可度。</w:t>
      </w:r>
    </w:p>
    <w:p>
      <w:pPr>
        <w:spacing w:line="360" w:lineRule="auto"/>
        <w:ind w:firstLine="643" w:firstLineChars="200"/>
        <w:jc w:val="left"/>
        <w:rPr>
          <w:rFonts w:ascii="仿宋" w:hAnsi="仿宋" w:eastAsia="仿宋" w:cs="宋体"/>
          <w:b/>
          <w:kern w:val="36"/>
          <w:sz w:val="32"/>
          <w:szCs w:val="32"/>
        </w:rPr>
      </w:pPr>
      <w:bookmarkStart w:id="5" w:name="_Toc433011407"/>
      <w:r>
        <w:rPr>
          <w:rFonts w:hint="eastAsia" w:ascii="仿宋" w:hAnsi="仿宋" w:eastAsia="仿宋" w:cs="宋体"/>
          <w:b/>
          <w:kern w:val="36"/>
          <w:sz w:val="32"/>
          <w:szCs w:val="32"/>
        </w:rPr>
        <w:t>1</w:t>
      </w:r>
      <w:r>
        <w:rPr>
          <w:rFonts w:ascii="仿宋" w:hAnsi="仿宋" w:eastAsia="仿宋" w:cs="宋体"/>
          <w:b/>
          <w:kern w:val="36"/>
          <w:sz w:val="32"/>
          <w:szCs w:val="32"/>
        </w:rPr>
        <w:t>.</w:t>
      </w:r>
      <w:r>
        <w:rPr>
          <w:rFonts w:hint="eastAsia" w:ascii="仿宋" w:hAnsi="仿宋" w:eastAsia="仿宋" w:cs="宋体"/>
          <w:b/>
          <w:kern w:val="36"/>
          <w:sz w:val="32"/>
          <w:szCs w:val="32"/>
        </w:rPr>
        <w:t>提升专业建设水平</w:t>
      </w:r>
      <w:bookmarkEnd w:id="5"/>
    </w:p>
    <w:p>
      <w:pPr>
        <w:pStyle w:val="12"/>
        <w:spacing w:line="360" w:lineRule="auto"/>
        <w:ind w:firstLine="640" w:firstLineChars="200"/>
        <w:rPr>
          <w:rFonts w:ascii="仿宋" w:hAnsi="仿宋" w:eastAsia="仿宋"/>
          <w:sz w:val="32"/>
          <w:szCs w:val="32"/>
        </w:rPr>
      </w:pPr>
      <w:r>
        <w:rPr>
          <w:rFonts w:hint="eastAsia" w:ascii="仿宋" w:hAnsi="仿宋" w:eastAsia="仿宋"/>
          <w:sz w:val="32"/>
          <w:szCs w:val="32"/>
        </w:rPr>
        <w:t>根据行业和区域经济发展对电力人才的需求，通过人才需求调研，与企业专家密切合作，以职业典型工作任务为基础，以能力培养为核心，优化人才培养模式和课程体系，以人才培养目标为引领，以七项重点工作为手段，完成发电、供电、继电、输电、热动、集控、工自7个特色专业的建设任务。</w:t>
      </w:r>
    </w:p>
    <w:p>
      <w:pPr>
        <w:pStyle w:val="12"/>
        <w:spacing w:line="360" w:lineRule="auto"/>
        <w:ind w:firstLine="640" w:firstLineChars="200"/>
        <w:rPr>
          <w:rFonts w:ascii="仿宋" w:hAnsi="仿宋" w:eastAsia="仿宋"/>
          <w:sz w:val="32"/>
          <w:szCs w:val="32"/>
        </w:rPr>
      </w:pPr>
      <w:r>
        <w:rPr>
          <w:rFonts w:hint="eastAsia" w:ascii="仿宋" w:hAnsi="仿宋" w:eastAsia="仿宋"/>
          <w:sz w:val="32"/>
          <w:szCs w:val="32"/>
        </w:rPr>
        <w:t>特色专业建设要以专业综合改革为指导，凸显高等职业教育的特色，实现在人才培养</w:t>
      </w:r>
      <w:r>
        <w:rPr>
          <w:rFonts w:ascii="仿宋" w:hAnsi="仿宋" w:eastAsia="仿宋"/>
          <w:sz w:val="32"/>
          <w:szCs w:val="32"/>
        </w:rPr>
        <w:t>目标、师资队伍、课程体系、教学条件和培养质量等方面具有较高的办学水平和鲜明的办学特色</w:t>
      </w:r>
      <w:r>
        <w:rPr>
          <w:rFonts w:hint="eastAsia" w:ascii="仿宋" w:hAnsi="仿宋" w:eastAsia="仿宋"/>
          <w:sz w:val="32"/>
          <w:szCs w:val="32"/>
        </w:rPr>
        <w:t>；持续改革与完善</w:t>
      </w:r>
      <w:r>
        <w:rPr>
          <w:rFonts w:hint="eastAsia" w:ascii="仿宋" w:hAnsi="仿宋" w:eastAsia="仿宋" w:cs="Times New Roman"/>
          <w:sz w:val="32"/>
          <w:szCs w:val="32"/>
        </w:rPr>
        <w:t>“三体现、五结合”的工学结合人才培养模式</w:t>
      </w:r>
      <w:r>
        <w:rPr>
          <w:rFonts w:hint="eastAsia" w:ascii="仿宋" w:hAnsi="仿宋" w:eastAsia="仿宋"/>
          <w:sz w:val="32"/>
          <w:szCs w:val="32"/>
        </w:rPr>
        <w:t>，提高学生的理论学习与实践技能操作能力；深入推进课程建设，以精品资源共享课开发、在线开放课程平台建设、翻转课堂试点和微课大赛等活动为载体，通过专业核心课程的突破引领课程建设与改革；加强示范性仿真实训基地建设，建设集实践训练、行业培训、职业技能鉴定和项目开发于一体的校内实训基地；组建精英教学团队，加强教学名师的培养，充分利用教学名师的引领作用提高整个教学团队教师的综合素质；围绕专业建设，建立面向教学与生产一线的技术服务平台，充分发挥校企合作实训基地的教育合作和技术技能培训功能；积极组织学生参加发各类技能类大赛，“以赛代练”，持续提升学生实践能力。</w:t>
      </w:r>
    </w:p>
    <w:p>
      <w:pPr>
        <w:pStyle w:val="12"/>
        <w:spacing w:line="360" w:lineRule="auto"/>
        <w:ind w:firstLine="640" w:firstLineChars="200"/>
        <w:rPr>
          <w:rFonts w:ascii="仿宋" w:hAnsi="仿宋" w:eastAsia="仿宋"/>
          <w:sz w:val="32"/>
          <w:szCs w:val="32"/>
        </w:rPr>
      </w:pPr>
      <w:r>
        <w:rPr>
          <w:rFonts w:hint="eastAsia" w:ascii="仿宋" w:hAnsi="仿宋" w:eastAsia="仿宋" w:cs="Times New Roman"/>
          <w:sz w:val="32"/>
          <w:szCs w:val="32"/>
        </w:rPr>
        <w:t>通过建设完善实训基地设施、提升基地管理水平和加强实训项目开发三个方面的持续工作，</w:t>
      </w:r>
      <w:r>
        <w:rPr>
          <w:rFonts w:hint="eastAsia" w:ascii="仿宋" w:hAnsi="仿宋" w:eastAsia="仿宋"/>
          <w:sz w:val="32"/>
          <w:szCs w:val="32"/>
        </w:rPr>
        <w:t>建设输配电实训基地、热力设备及辅助系统实训基地等8个校企共建的生产性实训基地，建设火电厂虚拟仿真实训中心、变电仿真实训基地等3个职业能力培养虚拟仿真实训中心。</w:t>
      </w:r>
      <w:r>
        <w:rPr>
          <w:rFonts w:hint="eastAsia" w:ascii="仿宋" w:hAnsi="仿宋" w:eastAsia="仿宋" w:cs="Times New Roman"/>
          <w:sz w:val="32"/>
          <w:szCs w:val="32"/>
        </w:rPr>
        <w:t>将</w:t>
      </w:r>
      <w:r>
        <w:rPr>
          <w:rFonts w:hint="eastAsia" w:ascii="仿宋" w:hAnsi="仿宋" w:eastAsia="仿宋"/>
          <w:sz w:val="32"/>
          <w:szCs w:val="32"/>
        </w:rPr>
        <w:t>学校</w:t>
      </w:r>
      <w:r>
        <w:rPr>
          <w:rFonts w:hint="eastAsia" w:ascii="仿宋" w:hAnsi="仿宋" w:eastAsia="仿宋" w:cs="Times New Roman"/>
          <w:sz w:val="32"/>
          <w:szCs w:val="32"/>
        </w:rPr>
        <w:t>实训基地建设成为布局合理、设施齐全、特色鲜明、功能全面、技术先进、管理规范、标准健全的全国同行业一流高技能人才</w:t>
      </w:r>
      <w:r>
        <w:rPr>
          <w:rFonts w:hint="eastAsia" w:ascii="仿宋" w:hAnsi="仿宋" w:eastAsia="仿宋"/>
          <w:sz w:val="32"/>
          <w:szCs w:val="32"/>
        </w:rPr>
        <w:t>培养</w:t>
      </w:r>
      <w:r>
        <w:rPr>
          <w:rFonts w:hint="eastAsia" w:ascii="仿宋" w:hAnsi="仿宋" w:eastAsia="仿宋" w:cs="Times New Roman"/>
          <w:sz w:val="32"/>
          <w:szCs w:val="32"/>
        </w:rPr>
        <w:t>基地。</w:t>
      </w:r>
    </w:p>
    <w:p>
      <w:pPr>
        <w:pStyle w:val="12"/>
        <w:spacing w:line="360" w:lineRule="auto"/>
        <w:ind w:firstLine="640" w:firstLineChars="200"/>
        <w:rPr>
          <w:rFonts w:ascii="仿宋" w:hAnsi="仿宋" w:eastAsia="仿宋" w:cs="Times New Roman"/>
          <w:sz w:val="32"/>
          <w:szCs w:val="32"/>
        </w:rPr>
      </w:pPr>
      <w:r>
        <w:rPr>
          <w:rFonts w:hint="eastAsia" w:ascii="仿宋" w:hAnsi="仿宋" w:eastAsia="仿宋"/>
          <w:sz w:val="32"/>
          <w:szCs w:val="32"/>
        </w:rPr>
        <w:t>通过</w:t>
      </w:r>
      <w:r>
        <w:rPr>
          <w:rFonts w:hint="eastAsia" w:ascii="仿宋" w:hAnsi="仿宋" w:eastAsia="仿宋" w:cs="Times New Roman"/>
          <w:sz w:val="32"/>
          <w:szCs w:val="32"/>
        </w:rPr>
        <w:t>专业建设，凝练专业方向、改善实训条件、深化教学改革，整体提升专业发展水平，提高专业的技术协同创新能力，促进区域产业结构调整和新兴产业发展。</w:t>
      </w:r>
    </w:p>
    <w:p>
      <w:pPr>
        <w:spacing w:line="360" w:lineRule="auto"/>
        <w:ind w:firstLine="643" w:firstLineChars="200"/>
        <w:jc w:val="left"/>
        <w:rPr>
          <w:rFonts w:ascii="仿宋" w:hAnsi="仿宋" w:eastAsia="仿宋" w:cs="宋体"/>
          <w:b/>
          <w:kern w:val="36"/>
          <w:sz w:val="32"/>
          <w:szCs w:val="32"/>
        </w:rPr>
      </w:pPr>
      <w:bookmarkStart w:id="6" w:name="_Toc433011408"/>
      <w:r>
        <w:rPr>
          <w:rFonts w:hint="eastAsia" w:ascii="仿宋" w:hAnsi="仿宋" w:eastAsia="仿宋" w:cs="宋体"/>
          <w:b/>
          <w:kern w:val="36"/>
          <w:sz w:val="32"/>
          <w:szCs w:val="32"/>
        </w:rPr>
        <w:t>2</w:t>
      </w:r>
      <w:r>
        <w:rPr>
          <w:rFonts w:ascii="仿宋" w:hAnsi="仿宋" w:eastAsia="仿宋" w:cs="宋体"/>
          <w:b/>
          <w:kern w:val="36"/>
          <w:sz w:val="32"/>
          <w:szCs w:val="32"/>
        </w:rPr>
        <w:t>.</w:t>
      </w:r>
      <w:r>
        <w:rPr>
          <w:rFonts w:hint="eastAsia" w:ascii="仿宋" w:hAnsi="仿宋" w:eastAsia="仿宋" w:cs="宋体"/>
          <w:b/>
          <w:kern w:val="36"/>
          <w:sz w:val="32"/>
          <w:szCs w:val="32"/>
        </w:rPr>
        <w:t>开展优质学校建设</w:t>
      </w:r>
      <w:bookmarkEnd w:id="6"/>
    </w:p>
    <w:p>
      <w:pPr>
        <w:pStyle w:val="12"/>
        <w:spacing w:line="360" w:lineRule="auto"/>
        <w:ind w:firstLine="640" w:firstLineChars="200"/>
        <w:rPr>
          <w:rFonts w:ascii="仿宋" w:hAnsi="仿宋" w:eastAsia="仿宋"/>
          <w:sz w:val="32"/>
          <w:szCs w:val="32"/>
        </w:rPr>
      </w:pPr>
      <w:r>
        <w:rPr>
          <w:rFonts w:hint="eastAsia" w:ascii="仿宋" w:hAnsi="仿宋" w:eastAsia="仿宋"/>
          <w:sz w:val="32"/>
          <w:szCs w:val="32"/>
        </w:rPr>
        <w:t>学校</w:t>
      </w:r>
      <w:r>
        <w:rPr>
          <w:rFonts w:hint="eastAsia" w:ascii="仿宋" w:hAnsi="仿宋" w:eastAsia="仿宋" w:cs="Times New Roman"/>
          <w:sz w:val="32"/>
          <w:szCs w:val="32"/>
        </w:rPr>
        <w:t>坚持以示范建设引领发展，持续深化教育教学改革、大幅提升技术创新服务能力、实质性扩大国际交流合作、培养杰出技术技能人才，增强专业教师和毕业生在行业企业的影响力，提升学校对产业发展的贡献度，争创国际先进水平。</w:t>
      </w:r>
      <w:r>
        <w:rPr>
          <w:rFonts w:hint="eastAsia" w:ascii="仿宋" w:hAnsi="仿宋" w:eastAsia="仿宋"/>
          <w:sz w:val="32"/>
          <w:szCs w:val="32"/>
        </w:rPr>
        <w:t>将学校</w:t>
      </w:r>
      <w:r>
        <w:rPr>
          <w:rFonts w:hint="eastAsia" w:ascii="仿宋" w:hAnsi="仿宋" w:eastAsia="仿宋" w:cs="Times New Roman"/>
          <w:sz w:val="32"/>
          <w:szCs w:val="32"/>
        </w:rPr>
        <w:t>建设</w:t>
      </w:r>
      <w:r>
        <w:rPr>
          <w:rFonts w:hint="eastAsia" w:ascii="仿宋" w:hAnsi="仿宋" w:eastAsia="仿宋"/>
          <w:sz w:val="32"/>
          <w:szCs w:val="32"/>
        </w:rPr>
        <w:t>成为</w:t>
      </w:r>
      <w:r>
        <w:rPr>
          <w:rFonts w:hint="eastAsia" w:ascii="仿宋" w:hAnsi="仿宋" w:eastAsia="仿宋" w:cs="Times New Roman"/>
          <w:sz w:val="32"/>
          <w:szCs w:val="32"/>
        </w:rPr>
        <w:t>办学定位准确、专业特色鲜明、社会服务能力强、综合办学水平领先、与地方经济社会发展需要契合度高、行业优势突出的优质专科高等职业院校</w:t>
      </w:r>
      <w:r>
        <w:rPr>
          <w:rFonts w:hint="eastAsia" w:ascii="仿宋" w:hAnsi="仿宋" w:eastAsia="仿宋"/>
          <w:sz w:val="32"/>
          <w:szCs w:val="32"/>
        </w:rPr>
        <w:t>。</w:t>
      </w:r>
    </w:p>
    <w:p>
      <w:pPr>
        <w:pStyle w:val="12"/>
        <w:spacing w:line="360" w:lineRule="auto"/>
        <w:ind w:firstLine="640" w:firstLineChars="200"/>
        <w:rPr>
          <w:rFonts w:ascii="仿宋" w:hAnsi="仿宋" w:eastAsia="仿宋" w:cs="Times New Roman"/>
          <w:sz w:val="32"/>
          <w:szCs w:val="32"/>
        </w:rPr>
      </w:pPr>
      <w:r>
        <w:rPr>
          <w:rFonts w:hint="eastAsia" w:ascii="仿宋" w:hAnsi="仿宋" w:eastAsia="仿宋"/>
          <w:sz w:val="32"/>
          <w:szCs w:val="32"/>
        </w:rPr>
        <w:t>通过</w:t>
      </w:r>
      <w:r>
        <w:rPr>
          <w:rFonts w:hint="eastAsia" w:ascii="仿宋" w:hAnsi="仿宋" w:eastAsia="仿宋" w:cs="Times New Roman"/>
          <w:sz w:val="32"/>
          <w:szCs w:val="32"/>
        </w:rPr>
        <w:t>开展优质学校建设</w:t>
      </w:r>
      <w:r>
        <w:rPr>
          <w:rFonts w:hint="eastAsia" w:ascii="仿宋" w:hAnsi="仿宋" w:eastAsia="仿宋"/>
          <w:sz w:val="32"/>
          <w:szCs w:val="32"/>
        </w:rPr>
        <w:t>，</w:t>
      </w:r>
      <w:r>
        <w:rPr>
          <w:rFonts w:hint="eastAsia" w:ascii="仿宋" w:hAnsi="仿宋" w:eastAsia="仿宋" w:cs="Times New Roman"/>
          <w:sz w:val="32"/>
          <w:szCs w:val="32"/>
        </w:rPr>
        <w:t>提升</w:t>
      </w:r>
      <w:r>
        <w:rPr>
          <w:rFonts w:hint="eastAsia" w:ascii="仿宋" w:hAnsi="仿宋" w:eastAsia="仿宋"/>
          <w:sz w:val="32"/>
          <w:szCs w:val="32"/>
        </w:rPr>
        <w:t>学校</w:t>
      </w:r>
      <w:r>
        <w:rPr>
          <w:rFonts w:hint="eastAsia" w:ascii="仿宋" w:hAnsi="仿宋" w:eastAsia="仿宋" w:cs="Times New Roman"/>
          <w:sz w:val="32"/>
          <w:szCs w:val="32"/>
        </w:rPr>
        <w:t>办学基本条件和学校综合治理水平，围绕电力行业发展和</w:t>
      </w:r>
      <w:r>
        <w:rPr>
          <w:rFonts w:ascii="仿宋" w:hAnsi="仿宋" w:eastAsia="仿宋" w:cs="Times New Roman"/>
          <w:sz w:val="32"/>
          <w:szCs w:val="32"/>
        </w:rPr>
        <w:t>技术进步</w:t>
      </w:r>
      <w:r>
        <w:rPr>
          <w:rFonts w:hint="eastAsia" w:ascii="仿宋" w:hAnsi="仿宋" w:eastAsia="仿宋" w:cs="Times New Roman"/>
          <w:sz w:val="32"/>
          <w:szCs w:val="32"/>
        </w:rPr>
        <w:t>进行专业和课程改革，加强师资队伍建设、实训基地内涵建设、开展创新创业教育，提升人才培养质量。坚持立德树人，加强校企文化融合，促进职业文化进校园、进课堂。积极开拓电力行业培训市场，为企业提供员工培训、技术支持等服务，提升社会服务水平。</w:t>
      </w:r>
    </w:p>
    <w:p>
      <w:pPr>
        <w:spacing w:line="360" w:lineRule="auto"/>
        <w:ind w:firstLine="643" w:firstLineChars="200"/>
        <w:jc w:val="left"/>
        <w:rPr>
          <w:rFonts w:ascii="仿宋" w:hAnsi="仿宋" w:eastAsia="仿宋" w:cs="宋体"/>
          <w:b/>
          <w:kern w:val="36"/>
          <w:sz w:val="32"/>
          <w:szCs w:val="32"/>
        </w:rPr>
      </w:pPr>
      <w:bookmarkStart w:id="7" w:name="_Toc433011409"/>
      <w:r>
        <w:rPr>
          <w:rFonts w:hint="eastAsia" w:ascii="仿宋" w:hAnsi="仿宋" w:eastAsia="仿宋" w:cs="宋体"/>
          <w:b/>
          <w:kern w:val="36"/>
          <w:sz w:val="32"/>
          <w:szCs w:val="32"/>
        </w:rPr>
        <w:t>3</w:t>
      </w:r>
      <w:r>
        <w:rPr>
          <w:rFonts w:ascii="仿宋" w:hAnsi="仿宋" w:eastAsia="仿宋" w:cs="宋体"/>
          <w:b/>
          <w:kern w:val="36"/>
          <w:sz w:val="32"/>
          <w:szCs w:val="32"/>
        </w:rPr>
        <w:t>.</w:t>
      </w:r>
      <w:r>
        <w:rPr>
          <w:rFonts w:hint="eastAsia" w:ascii="仿宋" w:hAnsi="仿宋" w:eastAsia="仿宋" w:cs="宋体"/>
          <w:b/>
          <w:kern w:val="36"/>
          <w:sz w:val="32"/>
          <w:szCs w:val="32"/>
        </w:rPr>
        <w:t>引进境外优质资源</w:t>
      </w:r>
      <w:bookmarkEnd w:id="7"/>
    </w:p>
    <w:p>
      <w:pPr>
        <w:pStyle w:val="12"/>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学习和引进澳大利亚</w:t>
      </w:r>
      <w:r>
        <w:rPr>
          <w:rFonts w:ascii="仿宋" w:hAnsi="仿宋" w:eastAsia="仿宋" w:cs="Times New Roman"/>
          <w:sz w:val="32"/>
          <w:szCs w:val="32"/>
        </w:rPr>
        <w:t>TAFE</w:t>
      </w:r>
      <w:r>
        <w:rPr>
          <w:rFonts w:hint="eastAsia" w:ascii="仿宋" w:hAnsi="仿宋" w:eastAsia="仿宋" w:cs="Times New Roman"/>
          <w:sz w:val="32"/>
          <w:szCs w:val="32"/>
        </w:rPr>
        <w:t>学院先进成熟适用的职业标准、专业课程、教材体系和数字化教育资源，联合开发课程，共建专业、实验室和实训基地，建立教师交流、学生交换、学分互认等合作关系，举办高水平中澳合作办学项目。</w:t>
      </w:r>
    </w:p>
    <w:p>
      <w:pPr>
        <w:pStyle w:val="12"/>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学校通过消化、吸收、融合国外先进教育理念和资源，推进学校教育教学改革，开发适合电力企业全球能源互联网战略的专业。按照澳大利亚</w:t>
      </w:r>
      <w:r>
        <w:rPr>
          <w:rFonts w:ascii="仿宋" w:hAnsi="仿宋" w:eastAsia="仿宋" w:cs="Times New Roman"/>
          <w:sz w:val="32"/>
          <w:szCs w:val="32"/>
        </w:rPr>
        <w:t>TAFE</w:t>
      </w:r>
      <w:r>
        <w:rPr>
          <w:rFonts w:hint="eastAsia" w:ascii="仿宋" w:hAnsi="仿宋" w:eastAsia="仿宋" w:cs="Times New Roman"/>
          <w:sz w:val="32"/>
          <w:szCs w:val="32"/>
        </w:rPr>
        <w:t>模式开发发电厂电力系统专业和发电厂热能动力装置专业，开发适合电力企业全球能源互联网战略发展所需的应用性人才培养方案，并在具体实施中确保人才培养的质量和目标。</w:t>
      </w:r>
    </w:p>
    <w:p>
      <w:pPr>
        <w:pStyle w:val="12"/>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学校与澳大利亚</w:t>
      </w:r>
      <w:r>
        <w:rPr>
          <w:rFonts w:ascii="仿宋" w:hAnsi="仿宋" w:eastAsia="仿宋" w:cs="Times New Roman"/>
          <w:sz w:val="32"/>
          <w:szCs w:val="32"/>
        </w:rPr>
        <w:t>TAFE</w:t>
      </w:r>
      <w:r>
        <w:rPr>
          <w:rFonts w:hint="eastAsia" w:ascii="仿宋" w:hAnsi="仿宋" w:eastAsia="仿宋" w:cs="Times New Roman"/>
          <w:sz w:val="32"/>
          <w:szCs w:val="32"/>
        </w:rPr>
        <w:t>学院的合作过程中，引进澳大利亚的</w:t>
      </w:r>
      <w:r>
        <w:rPr>
          <w:rFonts w:ascii="仿宋" w:hAnsi="仿宋" w:eastAsia="仿宋" w:cs="Times New Roman"/>
          <w:sz w:val="32"/>
          <w:szCs w:val="32"/>
        </w:rPr>
        <w:t>Training Package</w:t>
      </w:r>
      <w:r>
        <w:rPr>
          <w:rFonts w:hint="eastAsia" w:ascii="仿宋" w:hAnsi="仿宋" w:eastAsia="仿宋" w:cs="Times New Roman"/>
          <w:sz w:val="32"/>
          <w:szCs w:val="32"/>
        </w:rPr>
        <w:t>（培训包）和职业标准。在专业开发过程中，按照培训包由行业协会制定，随着行业标准的发展变化而实时调整，按照国内的行业标准，结合</w:t>
      </w:r>
      <w:r>
        <w:rPr>
          <w:rFonts w:ascii="仿宋" w:hAnsi="仿宋" w:eastAsia="仿宋" w:cs="Times New Roman"/>
          <w:sz w:val="32"/>
          <w:szCs w:val="32"/>
        </w:rPr>
        <w:t>TAFE</w:t>
      </w:r>
      <w:r>
        <w:rPr>
          <w:rFonts w:hint="eastAsia" w:ascii="仿宋" w:hAnsi="仿宋" w:eastAsia="仿宋" w:cs="Times New Roman"/>
          <w:sz w:val="32"/>
          <w:szCs w:val="32"/>
        </w:rPr>
        <w:t>模式来开发专业课程、教材体系、并用</w:t>
      </w:r>
      <w:r>
        <w:rPr>
          <w:rFonts w:ascii="仿宋" w:hAnsi="仿宋" w:eastAsia="仿宋" w:cs="Times New Roman"/>
          <w:sz w:val="32"/>
          <w:szCs w:val="32"/>
        </w:rPr>
        <w:t>TAFE</w:t>
      </w:r>
      <w:r>
        <w:rPr>
          <w:rFonts w:hint="eastAsia" w:ascii="仿宋" w:hAnsi="仿宋" w:eastAsia="仿宋" w:cs="Times New Roman"/>
          <w:sz w:val="32"/>
          <w:szCs w:val="32"/>
        </w:rPr>
        <w:t>教育的教学方法、教学手段及评价体系来评价教师的教学过程、学生的学习效果。</w:t>
      </w:r>
    </w:p>
    <w:p>
      <w:pPr>
        <w:pStyle w:val="12"/>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利用学校的行业特色和专业特点，引进国外行业课程体系，邀请高水平的外籍行业专家学者来授课或者做学术讲座，把国外优质教育资源、先进教育理念和经验“引进来”，扩大在校生国际化课程体系的受益面，通过合作办学项目，带动学校整体专业建设水平，全面提高人才培养质量。</w:t>
      </w:r>
    </w:p>
    <w:p>
      <w:pPr>
        <w:spacing w:line="360" w:lineRule="auto"/>
        <w:ind w:firstLine="643" w:firstLineChars="200"/>
        <w:jc w:val="left"/>
        <w:rPr>
          <w:rFonts w:ascii="仿宋" w:hAnsi="仿宋" w:eastAsia="仿宋" w:cs="宋体"/>
          <w:b/>
          <w:kern w:val="36"/>
          <w:sz w:val="32"/>
          <w:szCs w:val="32"/>
        </w:rPr>
      </w:pPr>
      <w:bookmarkStart w:id="8" w:name="_Toc433011410"/>
      <w:r>
        <w:rPr>
          <w:rFonts w:hint="eastAsia" w:ascii="仿宋" w:hAnsi="仿宋" w:eastAsia="仿宋" w:cs="宋体"/>
          <w:b/>
          <w:kern w:val="36"/>
          <w:sz w:val="32"/>
          <w:szCs w:val="32"/>
        </w:rPr>
        <w:t>4</w:t>
      </w:r>
      <w:r>
        <w:rPr>
          <w:rFonts w:ascii="仿宋" w:hAnsi="仿宋" w:eastAsia="仿宋" w:cs="宋体"/>
          <w:b/>
          <w:kern w:val="36"/>
          <w:sz w:val="32"/>
          <w:szCs w:val="32"/>
        </w:rPr>
        <w:t>.</w:t>
      </w:r>
      <w:r>
        <w:rPr>
          <w:rFonts w:hint="eastAsia" w:ascii="仿宋" w:hAnsi="仿宋" w:eastAsia="仿宋" w:cs="宋体"/>
          <w:b/>
          <w:kern w:val="36"/>
          <w:sz w:val="32"/>
          <w:szCs w:val="32"/>
        </w:rPr>
        <w:t>加强教师队伍建设</w:t>
      </w:r>
      <w:bookmarkEnd w:id="8"/>
    </w:p>
    <w:p>
      <w:pPr>
        <w:pStyle w:val="12"/>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学校围绕提升专业教学能力和实践动手能力，健全专任教师的培养和继续教育制度，与国网公司企业共建“双师型”教师培养培训基地，探索“学历教育</w:t>
      </w:r>
      <w:r>
        <w:rPr>
          <w:rFonts w:ascii="仿宋" w:hAnsi="仿宋" w:eastAsia="仿宋" w:cs="Times New Roman"/>
          <w:sz w:val="32"/>
          <w:szCs w:val="32"/>
        </w:rPr>
        <w:t>+</w:t>
      </w:r>
      <w:r>
        <w:rPr>
          <w:rFonts w:hint="eastAsia" w:ascii="仿宋" w:hAnsi="仿宋" w:eastAsia="仿宋" w:cs="Times New Roman"/>
          <w:sz w:val="32"/>
          <w:szCs w:val="32"/>
        </w:rPr>
        <w:t>企业实训”的培养办法，完善以老带新的青年教师培养机制，建立教师轮训制度，保证专业教师每五年企业实践时间累计不少于6个月。</w:t>
      </w:r>
    </w:p>
    <w:p>
      <w:pPr>
        <w:pStyle w:val="12"/>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加强以专业技术人员和高技能人才为主，主要承担专业课程教学和实践教学任务的兼职教师队伍建设。完善陕西省电力公司企业兼职师到校年度轮换制度，落实兼职教师在校的待遇经费，加强兼职教师的职业教育教学规律与教学方法培训，严格年度考核，开展兼职教师牵头的教学研究项目、组织实施教学改革，兼职教师数按每学年授课</w:t>
      </w:r>
      <w:r>
        <w:rPr>
          <w:rFonts w:ascii="仿宋" w:hAnsi="仿宋" w:eastAsia="仿宋" w:cs="Times New Roman"/>
          <w:sz w:val="32"/>
          <w:szCs w:val="32"/>
        </w:rPr>
        <w:t>160</w:t>
      </w:r>
      <w:r>
        <w:rPr>
          <w:rFonts w:hint="eastAsia" w:ascii="仿宋" w:hAnsi="仿宋" w:eastAsia="仿宋" w:cs="Times New Roman"/>
          <w:sz w:val="32"/>
          <w:szCs w:val="32"/>
        </w:rPr>
        <w:t>学时为</w:t>
      </w:r>
      <w:r>
        <w:rPr>
          <w:rFonts w:ascii="仿宋" w:hAnsi="仿宋" w:eastAsia="仿宋" w:cs="Times New Roman"/>
          <w:sz w:val="32"/>
          <w:szCs w:val="32"/>
        </w:rPr>
        <w:t>1</w:t>
      </w:r>
      <w:r>
        <w:rPr>
          <w:rFonts w:hint="eastAsia" w:ascii="仿宋" w:hAnsi="仿宋" w:eastAsia="仿宋" w:cs="Times New Roman"/>
          <w:sz w:val="32"/>
          <w:szCs w:val="32"/>
        </w:rPr>
        <w:t>名教师计算。</w:t>
      </w:r>
    </w:p>
    <w:p>
      <w:pPr>
        <w:pStyle w:val="12"/>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截至2018年年底：建设一支</w:t>
      </w:r>
      <w:r>
        <w:rPr>
          <w:rFonts w:ascii="仿宋" w:hAnsi="仿宋" w:eastAsia="仿宋" w:cs="Times New Roman"/>
          <w:sz w:val="32"/>
          <w:szCs w:val="32"/>
        </w:rPr>
        <w:t>师德高尚、</w:t>
      </w:r>
      <w:r>
        <w:rPr>
          <w:rFonts w:hint="eastAsia" w:ascii="仿宋" w:hAnsi="仿宋" w:eastAsia="仿宋" w:cs="Times New Roman"/>
          <w:sz w:val="32"/>
          <w:szCs w:val="32"/>
        </w:rPr>
        <w:t>业务精湛</w:t>
      </w:r>
      <w:r>
        <w:rPr>
          <w:rFonts w:ascii="仿宋" w:hAnsi="仿宋" w:eastAsia="仿宋" w:cs="Times New Roman"/>
          <w:sz w:val="32"/>
          <w:szCs w:val="32"/>
        </w:rPr>
        <w:t>、结构合理、</w:t>
      </w:r>
      <w:r>
        <w:rPr>
          <w:rFonts w:hint="eastAsia" w:ascii="仿宋" w:hAnsi="仿宋" w:eastAsia="仿宋" w:cs="Times New Roman"/>
          <w:sz w:val="32"/>
          <w:szCs w:val="32"/>
        </w:rPr>
        <w:t>实践能力强</w:t>
      </w:r>
      <w:r>
        <w:rPr>
          <w:rFonts w:ascii="仿宋" w:hAnsi="仿宋" w:eastAsia="仿宋" w:cs="Times New Roman"/>
          <w:sz w:val="32"/>
          <w:szCs w:val="32"/>
        </w:rPr>
        <w:t>的</w:t>
      </w:r>
      <w:r>
        <w:rPr>
          <w:rFonts w:hint="eastAsia" w:ascii="仿宋" w:hAnsi="仿宋" w:eastAsia="仿宋" w:cs="Times New Roman"/>
          <w:sz w:val="32"/>
          <w:szCs w:val="32"/>
        </w:rPr>
        <w:t>师资</w:t>
      </w:r>
      <w:r>
        <w:rPr>
          <w:rFonts w:ascii="仿宋" w:hAnsi="仿宋" w:eastAsia="仿宋" w:cs="Times New Roman"/>
          <w:sz w:val="32"/>
          <w:szCs w:val="32"/>
        </w:rPr>
        <w:t>队伍</w:t>
      </w:r>
      <w:r>
        <w:rPr>
          <w:rFonts w:hint="eastAsia" w:ascii="仿宋" w:hAnsi="仿宋" w:eastAsia="仿宋" w:cs="Times New Roman"/>
          <w:sz w:val="32"/>
          <w:szCs w:val="32"/>
        </w:rPr>
        <w:t>。教师培养及激励制度健全，完善现有5项制度，新建4项制度。培养2名省级教学名师，使省级教学名师达到6个，培养20名专业带头人和40名骨干教师；专业教师每5年企业实践不少于6个月，“双师型”教师达到60%以上。地市公司级以上专家人才达到20人，力争国网公司级专业领军人才零的突破。建成2个名师工作室。每年10名义上住校兼职师，工作时间不低于一年。</w:t>
      </w:r>
    </w:p>
    <w:p>
      <w:pPr>
        <w:spacing w:line="360" w:lineRule="auto"/>
        <w:ind w:firstLine="643" w:firstLineChars="200"/>
        <w:jc w:val="left"/>
        <w:rPr>
          <w:rFonts w:ascii="仿宋" w:hAnsi="仿宋" w:eastAsia="仿宋" w:cs="宋体"/>
          <w:b/>
          <w:kern w:val="36"/>
          <w:sz w:val="32"/>
          <w:szCs w:val="32"/>
        </w:rPr>
      </w:pPr>
      <w:bookmarkStart w:id="9" w:name="_Toc433011411"/>
      <w:r>
        <w:rPr>
          <w:rFonts w:hint="eastAsia" w:ascii="仿宋" w:hAnsi="仿宋" w:eastAsia="仿宋" w:cs="宋体"/>
          <w:b/>
          <w:kern w:val="36"/>
          <w:sz w:val="32"/>
          <w:szCs w:val="32"/>
        </w:rPr>
        <w:t>5</w:t>
      </w:r>
      <w:r>
        <w:rPr>
          <w:rFonts w:ascii="仿宋" w:hAnsi="仿宋" w:eastAsia="仿宋" w:cs="宋体"/>
          <w:b/>
          <w:kern w:val="36"/>
          <w:sz w:val="32"/>
          <w:szCs w:val="32"/>
        </w:rPr>
        <w:t>.</w:t>
      </w:r>
      <w:r>
        <w:rPr>
          <w:rFonts w:hint="eastAsia" w:ascii="仿宋" w:hAnsi="仿宋" w:eastAsia="仿宋" w:cs="宋体"/>
          <w:b/>
          <w:kern w:val="36"/>
          <w:sz w:val="32"/>
          <w:szCs w:val="32"/>
        </w:rPr>
        <w:t>推进信息技术应用</w:t>
      </w:r>
      <w:bookmarkEnd w:id="9"/>
    </w:p>
    <w:p>
      <w:pPr>
        <w:pStyle w:val="12"/>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顺应“互联网+”的发展趋势，应用信息技术改造传统教学，促进泛在、移动、个性化学习方式的形成。在现场实习安排困难或危险性高的专业领域，开发替代性变电站虚拟仿真实训系统。针对教学中难以理解的复杂结构复杂运动等，开发火电仿真和电网仿真仿真教学软件。</w:t>
      </w:r>
    </w:p>
    <w:p>
      <w:pPr>
        <w:pStyle w:val="12"/>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推进落实职业院校数字校园建设相关标准，加快职业教育管理信息化平台建设，消除信息孤岛，将信息技术应用能力作为教师评聘考核的重要依据，鼓励教师参加职业院校信息化教学大赛。</w:t>
      </w:r>
    </w:p>
    <w:p>
      <w:pPr>
        <w:pStyle w:val="12"/>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到2018年底，构建规范、安全、可靠的网络与信息化环境，全面实现系统的互联互通、信息的交换共享、大数据的分析应用，建成高效便捷的电子校务，为师生提供一站式信息化服务，为管理人员提供高效的信息化手段，为领导提供准确全面的决策支持，将西安电力高等专科学校全面建成数字校园，初步建成智慧校园，进一步实现与全省各高校建立学校公共基础数据库和数据交换平台的数据应用对接。</w:t>
      </w:r>
    </w:p>
    <w:p>
      <w:pPr>
        <w:spacing w:line="360" w:lineRule="auto"/>
        <w:ind w:firstLine="643" w:firstLineChars="200"/>
        <w:jc w:val="left"/>
        <w:rPr>
          <w:rFonts w:ascii="仿宋" w:hAnsi="仿宋" w:eastAsia="仿宋" w:cs="宋体"/>
          <w:b/>
          <w:kern w:val="36"/>
          <w:sz w:val="32"/>
          <w:szCs w:val="32"/>
        </w:rPr>
      </w:pPr>
      <w:bookmarkStart w:id="10" w:name="_Toc433011415"/>
      <w:r>
        <w:rPr>
          <w:rFonts w:hint="eastAsia" w:ascii="仿宋" w:hAnsi="仿宋" w:eastAsia="仿宋" w:cs="宋体"/>
          <w:b/>
          <w:kern w:val="36"/>
          <w:sz w:val="32"/>
          <w:szCs w:val="32"/>
        </w:rPr>
        <w:t>（二）增强院校办学活力</w:t>
      </w:r>
      <w:bookmarkEnd w:id="10"/>
    </w:p>
    <w:p>
      <w:pPr>
        <w:pStyle w:val="12"/>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学校以外部体制创新、内部机制改革、功能拓展为抓手增强办学活力，提高学校对市场的适应能力和自主发展能力。</w:t>
      </w:r>
    </w:p>
    <w:p>
      <w:pPr>
        <w:pStyle w:val="12"/>
        <w:spacing w:line="360" w:lineRule="auto"/>
        <w:ind w:firstLine="643" w:firstLineChars="200"/>
        <w:rPr>
          <w:rFonts w:ascii="仿宋" w:hAnsi="仿宋" w:eastAsia="仿宋" w:cs="Times New Roman"/>
          <w:b/>
          <w:sz w:val="32"/>
          <w:szCs w:val="32"/>
        </w:rPr>
      </w:pPr>
      <w:r>
        <w:rPr>
          <w:rFonts w:hint="eastAsia" w:ascii="仿宋" w:hAnsi="仿宋" w:eastAsia="仿宋" w:cs="Times New Roman"/>
          <w:b/>
          <w:sz w:val="32"/>
          <w:szCs w:val="32"/>
        </w:rPr>
        <w:t>1.分类</w:t>
      </w:r>
      <w:r>
        <w:rPr>
          <w:rFonts w:ascii="仿宋" w:hAnsi="仿宋" w:eastAsia="仿宋" w:cs="Times New Roman"/>
          <w:b/>
          <w:sz w:val="32"/>
          <w:szCs w:val="32"/>
        </w:rPr>
        <w:t>考试招生</w:t>
      </w:r>
      <w:r>
        <w:rPr>
          <w:rFonts w:hint="eastAsia" w:ascii="仿宋" w:hAnsi="仿宋" w:eastAsia="仿宋" w:cs="Times New Roman"/>
          <w:b/>
          <w:sz w:val="32"/>
          <w:szCs w:val="32"/>
        </w:rPr>
        <w:t>工作</w:t>
      </w:r>
      <w:r>
        <w:rPr>
          <w:rFonts w:ascii="仿宋" w:hAnsi="仿宋" w:eastAsia="仿宋" w:cs="Times New Roman"/>
          <w:b/>
          <w:sz w:val="32"/>
          <w:szCs w:val="32"/>
        </w:rPr>
        <w:t>考试机制建设</w:t>
      </w:r>
    </w:p>
    <w:p>
      <w:pPr>
        <w:pStyle w:val="12"/>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在按照</w:t>
      </w:r>
      <w:r>
        <w:rPr>
          <w:rFonts w:ascii="仿宋" w:hAnsi="仿宋" w:eastAsia="仿宋" w:cs="Times New Roman"/>
          <w:sz w:val="32"/>
          <w:szCs w:val="32"/>
        </w:rPr>
        <w:t>往年</w:t>
      </w:r>
      <w:r>
        <w:rPr>
          <w:rFonts w:hint="eastAsia" w:ascii="仿宋" w:hAnsi="仿宋" w:eastAsia="仿宋" w:cs="Times New Roman"/>
          <w:sz w:val="32"/>
          <w:szCs w:val="32"/>
        </w:rPr>
        <w:t>招生考试</w:t>
      </w:r>
      <w:r>
        <w:rPr>
          <w:rFonts w:ascii="仿宋" w:hAnsi="仿宋" w:eastAsia="仿宋" w:cs="Times New Roman"/>
          <w:sz w:val="32"/>
          <w:szCs w:val="32"/>
        </w:rPr>
        <w:t>中参考</w:t>
      </w:r>
      <w:r>
        <w:rPr>
          <w:rFonts w:hint="eastAsia" w:ascii="仿宋" w:hAnsi="仿宋" w:eastAsia="仿宋" w:cs="Times New Roman"/>
          <w:sz w:val="32"/>
          <w:szCs w:val="32"/>
        </w:rPr>
        <w:t>高中学业水平测试成绩的基础上</w:t>
      </w:r>
      <w:r>
        <w:rPr>
          <w:rFonts w:ascii="仿宋" w:hAnsi="仿宋" w:eastAsia="仿宋" w:cs="Times New Roman"/>
          <w:sz w:val="32"/>
          <w:szCs w:val="32"/>
        </w:rPr>
        <w:t>，改变</w:t>
      </w:r>
      <w:r>
        <w:rPr>
          <w:rFonts w:hint="eastAsia" w:ascii="仿宋" w:hAnsi="仿宋" w:eastAsia="仿宋" w:cs="Times New Roman"/>
          <w:sz w:val="32"/>
          <w:szCs w:val="32"/>
        </w:rPr>
        <w:t>理论考试的方式</w:t>
      </w:r>
      <w:r>
        <w:rPr>
          <w:rFonts w:ascii="仿宋" w:hAnsi="仿宋" w:eastAsia="仿宋" w:cs="Times New Roman"/>
          <w:sz w:val="32"/>
          <w:szCs w:val="32"/>
        </w:rPr>
        <w:t>和类型</w:t>
      </w:r>
      <w:r>
        <w:rPr>
          <w:rFonts w:hint="eastAsia" w:ascii="仿宋" w:hAnsi="仿宋" w:eastAsia="仿宋" w:cs="Times New Roman"/>
          <w:sz w:val="32"/>
          <w:szCs w:val="32"/>
        </w:rPr>
        <w:t>，</w:t>
      </w:r>
      <w:r>
        <w:rPr>
          <w:rFonts w:ascii="仿宋" w:hAnsi="仿宋" w:eastAsia="仿宋" w:cs="Times New Roman"/>
          <w:sz w:val="32"/>
          <w:szCs w:val="32"/>
        </w:rPr>
        <w:t>建立符合我校专业特点的考试机制，自行命题，加大专业技能测试的比重，</w:t>
      </w:r>
      <w:r>
        <w:rPr>
          <w:rFonts w:hint="eastAsia" w:ascii="仿宋" w:hAnsi="仿宋" w:eastAsia="仿宋" w:cs="Times New Roman"/>
          <w:sz w:val="32"/>
          <w:szCs w:val="32"/>
        </w:rPr>
        <w:t>保证生源质量，使得</w:t>
      </w:r>
      <w:r>
        <w:rPr>
          <w:rFonts w:ascii="仿宋" w:hAnsi="仿宋" w:eastAsia="仿宋" w:cs="Times New Roman"/>
          <w:sz w:val="32"/>
          <w:szCs w:val="32"/>
        </w:rPr>
        <w:t>学生合理分流</w:t>
      </w:r>
      <w:r>
        <w:rPr>
          <w:rFonts w:hint="eastAsia" w:ascii="仿宋" w:hAnsi="仿宋" w:eastAsia="仿宋" w:cs="Times New Roman"/>
          <w:sz w:val="32"/>
          <w:szCs w:val="32"/>
        </w:rPr>
        <w:t>。建设</w:t>
      </w:r>
      <w:r>
        <w:rPr>
          <w:rFonts w:ascii="仿宋" w:hAnsi="仿宋" w:eastAsia="仿宋" w:cs="Times New Roman"/>
          <w:sz w:val="32"/>
          <w:szCs w:val="32"/>
        </w:rPr>
        <w:t>招生管理系统，完善学生各项数据，与</w:t>
      </w:r>
      <w:r>
        <w:rPr>
          <w:rFonts w:hint="eastAsia" w:ascii="仿宋" w:hAnsi="仿宋" w:eastAsia="仿宋" w:cs="Times New Roman"/>
          <w:sz w:val="32"/>
          <w:szCs w:val="32"/>
        </w:rPr>
        <w:t>省</w:t>
      </w:r>
      <w:r>
        <w:rPr>
          <w:rFonts w:ascii="仿宋" w:hAnsi="仿宋" w:eastAsia="仿宋" w:cs="Times New Roman"/>
          <w:sz w:val="32"/>
          <w:szCs w:val="32"/>
        </w:rPr>
        <w:t>招办</w:t>
      </w:r>
      <w:r>
        <w:rPr>
          <w:rFonts w:hint="eastAsia" w:ascii="仿宋" w:hAnsi="仿宋" w:eastAsia="仿宋" w:cs="Times New Roman"/>
          <w:sz w:val="32"/>
          <w:szCs w:val="32"/>
        </w:rPr>
        <w:t>无缝对接</w:t>
      </w:r>
      <w:r>
        <w:rPr>
          <w:rFonts w:ascii="仿宋" w:hAnsi="仿宋" w:eastAsia="仿宋" w:cs="Times New Roman"/>
          <w:sz w:val="32"/>
          <w:szCs w:val="32"/>
        </w:rPr>
        <w:t>。</w:t>
      </w:r>
    </w:p>
    <w:p>
      <w:pPr>
        <w:pStyle w:val="12"/>
        <w:spacing w:line="360" w:lineRule="auto"/>
        <w:ind w:firstLine="643" w:firstLineChars="200"/>
        <w:rPr>
          <w:rFonts w:ascii="仿宋" w:hAnsi="仿宋" w:eastAsia="仿宋" w:cs="Times New Roman"/>
          <w:b/>
          <w:sz w:val="32"/>
          <w:szCs w:val="32"/>
        </w:rPr>
      </w:pPr>
      <w:r>
        <w:rPr>
          <w:rFonts w:hint="eastAsia" w:ascii="仿宋" w:hAnsi="仿宋" w:eastAsia="仿宋" w:cs="Times New Roman"/>
          <w:b/>
          <w:sz w:val="32"/>
          <w:szCs w:val="32"/>
        </w:rPr>
        <w:t>2.分类考试招生录取中等职业学校毕业生机制</w:t>
      </w:r>
      <w:r>
        <w:rPr>
          <w:rFonts w:ascii="仿宋" w:hAnsi="仿宋" w:eastAsia="仿宋" w:cs="Times New Roman"/>
          <w:b/>
          <w:sz w:val="32"/>
          <w:szCs w:val="32"/>
        </w:rPr>
        <w:t>建设</w:t>
      </w:r>
    </w:p>
    <w:p>
      <w:pPr>
        <w:pStyle w:val="12"/>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许多与</w:t>
      </w:r>
      <w:r>
        <w:rPr>
          <w:rFonts w:ascii="仿宋" w:hAnsi="仿宋" w:eastAsia="仿宋" w:cs="Times New Roman"/>
          <w:sz w:val="32"/>
          <w:szCs w:val="32"/>
        </w:rPr>
        <w:t>我校</w:t>
      </w:r>
      <w:r>
        <w:rPr>
          <w:rFonts w:hint="eastAsia" w:ascii="仿宋" w:hAnsi="仿宋" w:eastAsia="仿宋" w:cs="Times New Roman"/>
          <w:sz w:val="32"/>
          <w:szCs w:val="32"/>
        </w:rPr>
        <w:t>专业对口的</w:t>
      </w:r>
      <w:r>
        <w:rPr>
          <w:rFonts w:ascii="仿宋" w:hAnsi="仿宋" w:eastAsia="仿宋" w:cs="Times New Roman"/>
          <w:sz w:val="32"/>
          <w:szCs w:val="32"/>
        </w:rPr>
        <w:t>中等职业学校毕业生</w:t>
      </w:r>
      <w:r>
        <w:rPr>
          <w:rFonts w:hint="eastAsia" w:ascii="仿宋" w:hAnsi="仿宋" w:eastAsia="仿宋" w:cs="Times New Roman"/>
          <w:sz w:val="32"/>
          <w:szCs w:val="32"/>
        </w:rPr>
        <w:t>，</w:t>
      </w:r>
      <w:r>
        <w:rPr>
          <w:rFonts w:ascii="仿宋" w:hAnsi="仿宋" w:eastAsia="仿宋" w:cs="Times New Roman"/>
          <w:sz w:val="32"/>
          <w:szCs w:val="32"/>
        </w:rPr>
        <w:t>在原先的分类考试招生录取中不占优势</w:t>
      </w:r>
      <w:r>
        <w:rPr>
          <w:rFonts w:hint="eastAsia" w:ascii="仿宋" w:hAnsi="仿宋" w:eastAsia="仿宋" w:cs="Times New Roman"/>
          <w:sz w:val="32"/>
          <w:szCs w:val="32"/>
        </w:rPr>
        <w:t>，</w:t>
      </w:r>
      <w:r>
        <w:rPr>
          <w:rFonts w:ascii="仿宋" w:hAnsi="仿宋" w:eastAsia="仿宋" w:cs="Times New Roman"/>
          <w:sz w:val="32"/>
          <w:szCs w:val="32"/>
        </w:rPr>
        <w:t>使得有电力专业基础的学生</w:t>
      </w:r>
      <w:r>
        <w:rPr>
          <w:rFonts w:hint="eastAsia" w:ascii="仿宋" w:hAnsi="仿宋" w:eastAsia="仿宋" w:cs="Times New Roman"/>
          <w:sz w:val="32"/>
          <w:szCs w:val="32"/>
        </w:rPr>
        <w:t>机会丧失</w:t>
      </w:r>
      <w:r>
        <w:rPr>
          <w:rFonts w:ascii="仿宋" w:hAnsi="仿宋" w:eastAsia="仿宋" w:cs="Times New Roman"/>
          <w:sz w:val="32"/>
          <w:szCs w:val="32"/>
        </w:rPr>
        <w:t>。应建立</w:t>
      </w:r>
      <w:r>
        <w:rPr>
          <w:rFonts w:hint="eastAsia" w:ascii="仿宋" w:hAnsi="仿宋" w:eastAsia="仿宋" w:cs="Times New Roman"/>
          <w:sz w:val="32"/>
          <w:szCs w:val="32"/>
        </w:rPr>
        <w:t>中等</w:t>
      </w:r>
      <w:r>
        <w:rPr>
          <w:rFonts w:ascii="仿宋" w:hAnsi="仿宋" w:eastAsia="仿宋" w:cs="Times New Roman"/>
          <w:sz w:val="32"/>
          <w:szCs w:val="32"/>
        </w:rPr>
        <w:t>职业学校毕业生的分类考试招生录取机制</w:t>
      </w:r>
      <w:r>
        <w:rPr>
          <w:rFonts w:hint="eastAsia" w:ascii="仿宋" w:hAnsi="仿宋" w:eastAsia="仿宋" w:cs="Times New Roman"/>
          <w:sz w:val="32"/>
          <w:szCs w:val="32"/>
        </w:rPr>
        <w:t>，充分考虑现代职业教育体系建设对中等职业学校的衔接要求，以及中等职业学校毕业生的升学需求，合理确定招生规模，</w:t>
      </w:r>
      <w:r>
        <w:rPr>
          <w:rFonts w:ascii="仿宋" w:hAnsi="仿宋" w:eastAsia="仿宋" w:cs="Times New Roman"/>
          <w:sz w:val="32"/>
          <w:szCs w:val="32"/>
        </w:rPr>
        <w:t>逐年过度，适当加大中专生源比例，在稳定生源质量的基础上，</w:t>
      </w:r>
      <w:r>
        <w:rPr>
          <w:rFonts w:hint="eastAsia" w:ascii="仿宋" w:hAnsi="仿宋" w:eastAsia="仿宋" w:cs="Times New Roman"/>
          <w:sz w:val="32"/>
          <w:szCs w:val="32"/>
        </w:rPr>
        <w:t>逐步</w:t>
      </w:r>
      <w:r>
        <w:rPr>
          <w:rFonts w:ascii="仿宋" w:hAnsi="仿宋" w:eastAsia="仿宋" w:cs="Times New Roman"/>
          <w:sz w:val="32"/>
          <w:szCs w:val="32"/>
        </w:rPr>
        <w:t>增加比重。</w:t>
      </w:r>
    </w:p>
    <w:p>
      <w:pPr>
        <w:pStyle w:val="12"/>
        <w:spacing w:line="360" w:lineRule="auto"/>
        <w:ind w:firstLine="643" w:firstLineChars="200"/>
        <w:rPr>
          <w:rFonts w:ascii="仿宋" w:hAnsi="仿宋" w:eastAsia="仿宋" w:cs="Times New Roman"/>
          <w:b/>
          <w:sz w:val="32"/>
          <w:szCs w:val="32"/>
        </w:rPr>
      </w:pPr>
      <w:r>
        <w:rPr>
          <w:rFonts w:hint="eastAsia" w:ascii="仿宋" w:hAnsi="仿宋" w:eastAsia="仿宋" w:cs="Times New Roman"/>
          <w:b/>
          <w:sz w:val="32"/>
          <w:szCs w:val="32"/>
        </w:rPr>
        <w:t>3.学生专升本机制</w:t>
      </w:r>
      <w:r>
        <w:rPr>
          <w:rFonts w:ascii="仿宋" w:hAnsi="仿宋" w:eastAsia="仿宋" w:cs="Times New Roman"/>
          <w:b/>
          <w:sz w:val="32"/>
          <w:szCs w:val="32"/>
        </w:rPr>
        <w:t>建设</w:t>
      </w:r>
    </w:p>
    <w:p>
      <w:pPr>
        <w:pStyle w:val="12"/>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目前高等职业院校学生进入应用型本科高校学习的渠道进一步拓宽，方式更加灵活，我省将继续稳步推进技能型人才成长“立交桥”建设。我校</w:t>
      </w:r>
      <w:r>
        <w:rPr>
          <w:rFonts w:ascii="仿宋" w:hAnsi="仿宋" w:eastAsia="仿宋" w:cs="Times New Roman"/>
          <w:sz w:val="32"/>
          <w:szCs w:val="32"/>
        </w:rPr>
        <w:t>要抓住时机，</w:t>
      </w:r>
      <w:r>
        <w:rPr>
          <w:rFonts w:hint="eastAsia" w:ascii="仿宋" w:hAnsi="仿宋" w:eastAsia="仿宋" w:cs="Times New Roman"/>
          <w:sz w:val="32"/>
          <w:szCs w:val="32"/>
        </w:rPr>
        <w:t>建立</w:t>
      </w:r>
      <w:r>
        <w:rPr>
          <w:rFonts w:ascii="仿宋" w:hAnsi="仿宋" w:eastAsia="仿宋" w:cs="Times New Roman"/>
          <w:sz w:val="32"/>
          <w:szCs w:val="32"/>
        </w:rPr>
        <w:t>学生专升本机制，鼓励非电力类专业学生</w:t>
      </w:r>
      <w:r>
        <w:rPr>
          <w:rFonts w:hint="eastAsia" w:ascii="仿宋" w:hAnsi="仿宋" w:eastAsia="仿宋" w:cs="Times New Roman"/>
          <w:sz w:val="32"/>
          <w:szCs w:val="32"/>
        </w:rPr>
        <w:t>、就业</w:t>
      </w:r>
      <w:r>
        <w:rPr>
          <w:rFonts w:ascii="仿宋" w:hAnsi="仿宋" w:eastAsia="仿宋" w:cs="Times New Roman"/>
          <w:sz w:val="32"/>
          <w:szCs w:val="32"/>
        </w:rPr>
        <w:t>压力较大</w:t>
      </w:r>
      <w:r>
        <w:rPr>
          <w:rFonts w:hint="eastAsia" w:ascii="仿宋" w:hAnsi="仿宋" w:eastAsia="仿宋" w:cs="Times New Roman"/>
          <w:sz w:val="32"/>
          <w:szCs w:val="32"/>
        </w:rPr>
        <w:t>、</w:t>
      </w:r>
      <w:r>
        <w:rPr>
          <w:rFonts w:ascii="仿宋" w:hAnsi="仿宋" w:eastAsia="仿宋" w:cs="Times New Roman"/>
          <w:sz w:val="32"/>
          <w:szCs w:val="32"/>
        </w:rPr>
        <w:t>有</w:t>
      </w:r>
      <w:r>
        <w:rPr>
          <w:rFonts w:hint="eastAsia" w:ascii="仿宋" w:hAnsi="仿宋" w:eastAsia="仿宋" w:cs="Times New Roman"/>
          <w:sz w:val="32"/>
          <w:szCs w:val="32"/>
        </w:rPr>
        <w:t>更高学历需求的学生参加专升本</w:t>
      </w:r>
      <w:r>
        <w:rPr>
          <w:rFonts w:ascii="仿宋" w:hAnsi="仿宋" w:eastAsia="仿宋" w:cs="Times New Roman"/>
          <w:sz w:val="32"/>
          <w:szCs w:val="32"/>
        </w:rPr>
        <w:t>考试</w:t>
      </w:r>
      <w:r>
        <w:rPr>
          <w:rFonts w:hint="eastAsia" w:ascii="仿宋" w:hAnsi="仿宋" w:eastAsia="仿宋" w:cs="Times New Roman"/>
          <w:sz w:val="32"/>
          <w:szCs w:val="32"/>
        </w:rPr>
        <w:t>。</w:t>
      </w:r>
    </w:p>
    <w:p>
      <w:pPr>
        <w:pStyle w:val="12"/>
        <w:spacing w:line="360" w:lineRule="auto"/>
        <w:ind w:firstLine="643" w:firstLineChars="200"/>
        <w:rPr>
          <w:rFonts w:ascii="仿宋" w:hAnsi="仿宋" w:eastAsia="仿宋" w:cs="Times New Roman"/>
          <w:b/>
          <w:sz w:val="32"/>
          <w:szCs w:val="32"/>
        </w:rPr>
      </w:pPr>
      <w:r>
        <w:rPr>
          <w:rFonts w:hint="eastAsia" w:ascii="仿宋" w:hAnsi="仿宋" w:eastAsia="仿宋" w:cs="Times New Roman"/>
          <w:b/>
          <w:sz w:val="32"/>
          <w:szCs w:val="32"/>
        </w:rPr>
        <w:t>4.拓宽</w:t>
      </w:r>
      <w:r>
        <w:rPr>
          <w:rFonts w:ascii="仿宋" w:hAnsi="仿宋" w:eastAsia="仿宋" w:cs="Times New Roman"/>
          <w:b/>
          <w:sz w:val="32"/>
          <w:szCs w:val="32"/>
        </w:rPr>
        <w:t>分类招生渠道机制</w:t>
      </w:r>
      <w:r>
        <w:rPr>
          <w:rFonts w:hint="eastAsia" w:ascii="仿宋" w:hAnsi="仿宋" w:eastAsia="仿宋" w:cs="Times New Roman"/>
          <w:b/>
          <w:sz w:val="32"/>
          <w:szCs w:val="32"/>
        </w:rPr>
        <w:t>建设</w:t>
      </w:r>
    </w:p>
    <w:p>
      <w:pPr>
        <w:pStyle w:val="12"/>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立足适应经济社会发展需要，遵循高等职业教育人才选拔和培养规律，促进普通高中和中等职业学校实施素质教育，为学生发挥个性潜能提供多样化选择。学校</w:t>
      </w:r>
      <w:r>
        <w:rPr>
          <w:rFonts w:ascii="仿宋" w:hAnsi="仿宋" w:eastAsia="仿宋" w:cs="Times New Roman"/>
          <w:sz w:val="32"/>
          <w:szCs w:val="32"/>
        </w:rPr>
        <w:t>拓宽分类考试招生渠道</w:t>
      </w:r>
      <w:r>
        <w:rPr>
          <w:rFonts w:hint="eastAsia" w:ascii="仿宋" w:hAnsi="仿宋" w:eastAsia="仿宋" w:cs="Times New Roman"/>
          <w:sz w:val="32"/>
          <w:szCs w:val="32"/>
        </w:rPr>
        <w:t>，学生自主选择、学校多元录取，按照有利于科学选拔人才、促进学生健康发展和维护社会公平的原则，重点探索“知识+技能”的考试评价办法，为学生接受高等职业教育提供多样化入学形式。加强校企</w:t>
      </w:r>
      <w:r>
        <w:rPr>
          <w:rFonts w:ascii="仿宋" w:hAnsi="仿宋" w:eastAsia="仿宋" w:cs="Times New Roman"/>
          <w:sz w:val="32"/>
          <w:szCs w:val="32"/>
        </w:rPr>
        <w:t>合作，在现有的校企合作订单培养的基础上，加大市场开发，广泛联络常年合作的优质系统行业标杆企业，开拓订单培养市场。</w:t>
      </w:r>
    </w:p>
    <w:p>
      <w:pPr>
        <w:pStyle w:val="12"/>
        <w:spacing w:line="360" w:lineRule="auto"/>
        <w:ind w:firstLine="643" w:firstLineChars="200"/>
        <w:rPr>
          <w:rFonts w:ascii="仿宋" w:hAnsi="仿宋" w:eastAsia="仿宋" w:cs="Times New Roman"/>
          <w:b/>
          <w:sz w:val="32"/>
          <w:szCs w:val="32"/>
        </w:rPr>
      </w:pPr>
      <w:r>
        <w:rPr>
          <w:rFonts w:hint="eastAsia" w:ascii="仿宋" w:hAnsi="仿宋" w:eastAsia="仿宋" w:cs="Times New Roman"/>
          <w:b/>
          <w:sz w:val="32"/>
          <w:szCs w:val="32"/>
        </w:rPr>
        <w:t>5.招生录取工作</w:t>
      </w:r>
      <w:r>
        <w:rPr>
          <w:rFonts w:ascii="仿宋" w:hAnsi="仿宋" w:eastAsia="仿宋" w:cs="Times New Roman"/>
          <w:b/>
          <w:sz w:val="32"/>
          <w:szCs w:val="32"/>
        </w:rPr>
        <w:t>的</w:t>
      </w:r>
      <w:r>
        <w:rPr>
          <w:rFonts w:hint="eastAsia" w:ascii="仿宋" w:hAnsi="仿宋" w:eastAsia="仿宋" w:cs="Times New Roman"/>
          <w:b/>
          <w:sz w:val="32"/>
          <w:szCs w:val="32"/>
        </w:rPr>
        <w:t>监督机制建设</w:t>
      </w:r>
    </w:p>
    <w:p>
      <w:pPr>
        <w:pStyle w:val="12"/>
        <w:spacing w:line="360" w:lineRule="auto"/>
        <w:ind w:firstLine="640" w:firstLineChars="200"/>
        <w:rPr>
          <w:rFonts w:ascii="仿宋" w:hAnsi="仿宋" w:eastAsia="仿宋" w:cs="Times New Roman"/>
          <w:sz w:val="32"/>
          <w:szCs w:val="32"/>
        </w:rPr>
      </w:pPr>
      <w:r>
        <w:rPr>
          <w:rFonts w:ascii="仿宋" w:hAnsi="仿宋" w:eastAsia="仿宋" w:cs="Times New Roman"/>
          <w:sz w:val="32"/>
          <w:szCs w:val="32"/>
        </w:rPr>
        <w:t>在招生中实施"阳光工程"的各项要求，强化信息公开，完善监督</w:t>
      </w:r>
      <w:r>
        <w:rPr>
          <w:rFonts w:hint="eastAsia" w:ascii="仿宋" w:hAnsi="仿宋" w:eastAsia="仿宋" w:cs="Times New Roman"/>
          <w:sz w:val="32"/>
          <w:szCs w:val="32"/>
        </w:rPr>
        <w:t>机制</w:t>
      </w:r>
      <w:r>
        <w:rPr>
          <w:rFonts w:ascii="仿宋" w:hAnsi="仿宋" w:eastAsia="仿宋" w:cs="Times New Roman"/>
          <w:sz w:val="32"/>
          <w:szCs w:val="32"/>
        </w:rPr>
        <w:t>，要加强试题保密</w:t>
      </w:r>
      <w:r>
        <w:rPr>
          <w:rFonts w:hint="eastAsia" w:ascii="仿宋" w:hAnsi="仿宋" w:eastAsia="仿宋" w:cs="Times New Roman"/>
          <w:sz w:val="32"/>
          <w:szCs w:val="32"/>
        </w:rPr>
        <w:t>、</w:t>
      </w:r>
      <w:r>
        <w:rPr>
          <w:rFonts w:ascii="仿宋" w:hAnsi="仿宋" w:eastAsia="仿宋" w:cs="Times New Roman"/>
          <w:sz w:val="32"/>
          <w:szCs w:val="32"/>
        </w:rPr>
        <w:t>考务考场管理</w:t>
      </w:r>
      <w:r>
        <w:rPr>
          <w:rFonts w:hint="eastAsia" w:ascii="仿宋" w:hAnsi="仿宋" w:eastAsia="仿宋" w:cs="Times New Roman"/>
          <w:sz w:val="32"/>
          <w:szCs w:val="32"/>
        </w:rPr>
        <w:t>和</w:t>
      </w:r>
      <w:r>
        <w:rPr>
          <w:rFonts w:ascii="仿宋" w:hAnsi="仿宋" w:eastAsia="仿宋" w:cs="Times New Roman"/>
          <w:sz w:val="32"/>
          <w:szCs w:val="32"/>
        </w:rPr>
        <w:t>阳光录取、平安录取，工作全过程受</w:t>
      </w:r>
      <w:r>
        <w:rPr>
          <w:rFonts w:hint="eastAsia" w:ascii="仿宋" w:hAnsi="仿宋" w:eastAsia="仿宋" w:cs="Times New Roman"/>
          <w:sz w:val="32"/>
          <w:szCs w:val="32"/>
        </w:rPr>
        <w:t>纪检部门</w:t>
      </w:r>
      <w:r>
        <w:rPr>
          <w:rFonts w:ascii="仿宋" w:hAnsi="仿宋" w:eastAsia="仿宋" w:cs="Times New Roman"/>
          <w:sz w:val="32"/>
          <w:szCs w:val="32"/>
        </w:rPr>
        <w:t>的监督。</w:t>
      </w:r>
    </w:p>
    <w:p>
      <w:pPr>
        <w:pStyle w:val="12"/>
        <w:spacing w:line="360" w:lineRule="auto"/>
        <w:ind w:firstLine="643" w:firstLineChars="200"/>
        <w:rPr>
          <w:rFonts w:ascii="仿宋" w:hAnsi="仿宋" w:eastAsia="仿宋" w:cs="Times New Roman"/>
          <w:b/>
          <w:sz w:val="32"/>
          <w:szCs w:val="32"/>
        </w:rPr>
      </w:pPr>
      <w:bookmarkStart w:id="11" w:name="_Toc433011424"/>
      <w:r>
        <w:rPr>
          <w:rFonts w:hint="eastAsia" w:ascii="仿宋" w:hAnsi="仿宋" w:eastAsia="仿宋" w:cs="Times New Roman"/>
          <w:b/>
          <w:sz w:val="32"/>
          <w:szCs w:val="32"/>
        </w:rPr>
        <w:t>（三）加强技术技能积累</w:t>
      </w:r>
      <w:bookmarkEnd w:id="11"/>
    </w:p>
    <w:p>
      <w:pPr>
        <w:pStyle w:val="12"/>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学校服务区域、产业发展和国家外交政策需要，紧密结合培养杰出人才和加强教师队伍建设，加强应用技术的传承应用研发能力，提高培养人才的水平和技术服务的附加值。</w:t>
      </w:r>
    </w:p>
    <w:p>
      <w:pPr>
        <w:pStyle w:val="12"/>
        <w:spacing w:line="360" w:lineRule="auto"/>
        <w:ind w:firstLine="643" w:firstLineChars="200"/>
        <w:rPr>
          <w:rFonts w:ascii="仿宋" w:hAnsi="仿宋" w:eastAsia="仿宋" w:cs="Times New Roman"/>
          <w:b/>
          <w:sz w:val="32"/>
          <w:szCs w:val="32"/>
        </w:rPr>
      </w:pPr>
      <w:bookmarkStart w:id="12" w:name="_Toc433011425"/>
      <w:r>
        <w:rPr>
          <w:rFonts w:ascii="仿宋" w:hAnsi="仿宋" w:eastAsia="仿宋" w:cs="Times New Roman"/>
          <w:b/>
          <w:sz w:val="32"/>
          <w:szCs w:val="32"/>
        </w:rPr>
        <w:t>1.</w:t>
      </w:r>
      <w:bookmarkEnd w:id="12"/>
      <w:r>
        <w:rPr>
          <w:rFonts w:hint="eastAsia" w:ascii="仿宋" w:hAnsi="仿宋" w:eastAsia="仿宋" w:cs="Times New Roman"/>
          <w:b/>
          <w:sz w:val="32"/>
          <w:szCs w:val="32"/>
        </w:rPr>
        <w:t>优化院校布局、调整专业结构</w:t>
      </w:r>
    </w:p>
    <w:p>
      <w:pPr>
        <w:pStyle w:val="12"/>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学校按照“服务社会设专业，依照行业建专业，校企合作强专业”的专业建设思路，面向电力行业和区域经济迅速发展的电力建设、运行、维护等领域，全面优化专业结构，注重专业内涵建设，以保证高素质技能型人才培养适应区域产业发展的需要，促进学校向内涵式发展的转型。</w:t>
      </w:r>
    </w:p>
    <w:p>
      <w:pPr>
        <w:pStyle w:val="12"/>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（1）制定专业建设规划，明确发展思路和攻坚方向</w:t>
      </w:r>
    </w:p>
    <w:p>
      <w:pPr>
        <w:pStyle w:val="12"/>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学校落实以就业为导向，以服务为宗旨，走产学研相结合的高等职业教育思想，立足电力行业和区域经济发展需求，结合学校办学定位，制定了《西安电力高等专科学校专业建设规划》和《西安电力高等专科学校特色专业建设规划》，明确今后五年专业发展思路和专业内涵建设的攻坚方向，确定“办精电力特色专业，拓展新能源专业”的专业建设思路，形成专业结构整体优化，特色鲜明的发电、供电、继电、输电、热动、集控等带有鲜明电力行业特色的品牌专业，探索开设</w:t>
      </w:r>
      <w:r>
        <w:rPr>
          <w:rFonts w:ascii="仿宋" w:hAnsi="仿宋" w:eastAsia="仿宋" w:cs="Times New Roman"/>
          <w:sz w:val="32"/>
          <w:szCs w:val="32"/>
        </w:rPr>
        <w:t>新能源发电工程类新专业</w:t>
      </w:r>
      <w:r>
        <w:rPr>
          <w:rFonts w:hint="eastAsia" w:ascii="仿宋" w:hAnsi="仿宋" w:eastAsia="仿宋" w:cs="Times New Roman"/>
          <w:sz w:val="32"/>
          <w:szCs w:val="32"/>
        </w:rPr>
        <w:t>，使学校专业能更加主动地适应电力行业和区域经济社会发展对专业人才培养的需求。</w:t>
      </w:r>
    </w:p>
    <w:p>
      <w:pPr>
        <w:pStyle w:val="12"/>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（2）优化和调整专业结构，提升专业竞争力</w:t>
      </w:r>
    </w:p>
    <w:p>
      <w:pPr>
        <w:pStyle w:val="12"/>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学校将专业设置优化与调整作为一项长期工作。在专业建设、调整和优化过程中，针对企业办学的特点，学校坚持“依托电网、面向社会、服务企业”的办学理念，根据电力行业和区域经济社会发展、变化的需要，结合学校办学实际，坚持以以电力专业群发展为主线和以适应性与前瞻性统一、稳定性与灵活性相统一的原则，积极、稳妥的调整现有专业、办精已有专业、增设新专业、拓展专业方向，形成能主动适应电力行业和区域经济社会发展，与市场接轨，适合自身发展的专业调整与建设的思路。根据新能源建设、智能电网建设和能效管理等新技术发展方向，不断优化电力、动力类专业结构，调整专业发展重点，调整计算机通信、市场营销等专业服务电力方向，突出电力特色。</w:t>
      </w:r>
    </w:p>
    <w:p>
      <w:pPr>
        <w:pStyle w:val="12"/>
        <w:spacing w:line="360" w:lineRule="auto"/>
        <w:ind w:firstLine="643" w:firstLineChars="200"/>
        <w:rPr>
          <w:rFonts w:ascii="仿宋" w:hAnsi="仿宋" w:eastAsia="仿宋" w:cs="Times New Roman"/>
          <w:sz w:val="32"/>
          <w:szCs w:val="32"/>
        </w:rPr>
      </w:pPr>
      <w:r>
        <w:rPr>
          <w:rFonts w:hint="eastAsia" w:ascii="仿宋" w:hAnsi="仿宋" w:eastAsia="仿宋" w:cs="Times New Roman"/>
          <w:b/>
          <w:sz w:val="32"/>
          <w:szCs w:val="32"/>
        </w:rPr>
        <w:t>调整现有专业</w:t>
      </w:r>
      <w:r>
        <w:rPr>
          <w:rFonts w:hint="eastAsia" w:ascii="仿宋" w:hAnsi="仿宋" w:eastAsia="仿宋" w:cs="Times New Roman"/>
          <w:sz w:val="32"/>
          <w:szCs w:val="32"/>
        </w:rPr>
        <w:t xml:space="preserve">  学校现有的发电、供电、继电、输电、热动、集控等八个专业都是具有电力特色的传统优势专业，为电力行业和区域经济社会发展，培养了大量的高技能专门人才。随着国家大力发展清洁能源和新能源技术，全球能源互联网、智能电网、特高压技术和清洁能源技术等新知识和新技术得到了广泛的应用，为能更好的适应电力新技术发展的需要，在现有专业开始相应的课程，使学生在掌握所学专业的知识、技能和素质的基础上，学习紧跟电力行业发展前沿的知识，掌握电力新设备的操作技能，满足企业对技能型人才的新要求。</w:t>
      </w:r>
    </w:p>
    <w:p>
      <w:pPr>
        <w:pStyle w:val="12"/>
        <w:spacing w:line="360" w:lineRule="auto"/>
        <w:ind w:firstLine="643" w:firstLineChars="200"/>
        <w:rPr>
          <w:rFonts w:ascii="仿宋" w:hAnsi="仿宋" w:eastAsia="仿宋" w:cs="Times New Roman"/>
          <w:sz w:val="32"/>
          <w:szCs w:val="32"/>
        </w:rPr>
      </w:pPr>
      <w:r>
        <w:rPr>
          <w:rFonts w:hint="eastAsia" w:ascii="仿宋" w:hAnsi="仿宋" w:eastAsia="仿宋" w:cs="Times New Roman"/>
          <w:b/>
          <w:sz w:val="32"/>
          <w:szCs w:val="32"/>
        </w:rPr>
        <w:t>办精已有专业</w:t>
      </w:r>
      <w:r>
        <w:rPr>
          <w:rFonts w:hint="eastAsia" w:ascii="仿宋" w:hAnsi="仿宋" w:eastAsia="仿宋" w:cs="Times New Roman"/>
          <w:sz w:val="32"/>
          <w:szCs w:val="32"/>
        </w:rPr>
        <w:t xml:space="preserve">  学校已有专业中有八个省级重点专业，其中生产过程自动化技术和火电厂集控运行专业近两年列为省级高等职业院校专业综合改革专业。学校要以综合改革专业为引领，深化省级重点专业建设，办精办好已有的特色专业，体现学校的办学实力和专业特色。以学校“三体现五融合”的人才培养模式为指导，优化各专业人才培养模式；通过深入的典型工作任务分析、课程体系修订、人才培养方案优化、课程标准修订四项工作，修订各专业人才培养方案；以精品资源共享课开发、在线开放课程平台建设、翻转课堂试点和微课大赛等活动为载体，开发精品资源共享课；采取升级、改造、新建、校企合作等方式，加强各专业实训基地建设；以专业带头人、教学名师和骨干教师培养为核心，加强师资队伍建设；以岗位技术培训为核心，加强社会服务能力建设。</w:t>
      </w:r>
    </w:p>
    <w:p>
      <w:pPr>
        <w:pStyle w:val="12"/>
        <w:spacing w:line="360" w:lineRule="auto"/>
        <w:ind w:firstLine="643" w:firstLineChars="200"/>
        <w:rPr>
          <w:rFonts w:ascii="仿宋" w:hAnsi="仿宋" w:eastAsia="仿宋" w:cs="Times New Roman"/>
          <w:sz w:val="32"/>
          <w:szCs w:val="32"/>
        </w:rPr>
      </w:pPr>
      <w:r>
        <w:rPr>
          <w:rFonts w:hint="eastAsia" w:ascii="仿宋" w:hAnsi="仿宋" w:eastAsia="仿宋" w:cs="Times New Roman"/>
          <w:b/>
          <w:sz w:val="32"/>
          <w:szCs w:val="32"/>
        </w:rPr>
        <w:t>拓展专业方向</w:t>
      </w:r>
      <w:r>
        <w:rPr>
          <w:rFonts w:hint="eastAsia" w:ascii="仿宋" w:hAnsi="仿宋" w:eastAsia="仿宋" w:cs="Times New Roman"/>
          <w:sz w:val="32"/>
          <w:szCs w:val="32"/>
        </w:rPr>
        <w:t xml:space="preserve">  学校现有专业中，计算机通信专业是通信类专业，市场营销专业是工商管理类专业，生产过程自动化专业是自动化类专业，根据专业规划，对这三个专业的专业方向进行调整，将计算机通信专业方向调整为电力通信方向，市场营销专业调整为电力营销方向，生产过程自动化专业调整为电厂自动化方向，培养电力通信、电力营销和电厂自动化方面的高素质技能型人才，更好的适应电力行业和区域经济社会发展的人才需求。</w:t>
      </w:r>
    </w:p>
    <w:p>
      <w:pPr>
        <w:pStyle w:val="12"/>
        <w:spacing w:line="360" w:lineRule="auto"/>
        <w:ind w:firstLine="643" w:firstLineChars="200"/>
        <w:rPr>
          <w:rFonts w:ascii="仿宋" w:hAnsi="仿宋" w:eastAsia="仿宋" w:cs="Times New Roman"/>
          <w:sz w:val="32"/>
          <w:szCs w:val="32"/>
        </w:rPr>
      </w:pPr>
      <w:r>
        <w:rPr>
          <w:rFonts w:hint="eastAsia" w:ascii="仿宋" w:hAnsi="仿宋" w:eastAsia="仿宋" w:cs="Times New Roman"/>
          <w:b/>
          <w:sz w:val="32"/>
          <w:szCs w:val="32"/>
        </w:rPr>
        <w:t>增设新专业</w:t>
      </w:r>
      <w:r>
        <w:rPr>
          <w:rFonts w:hint="eastAsia" w:ascii="仿宋" w:hAnsi="仿宋" w:eastAsia="仿宋" w:cs="Times New Roman"/>
          <w:sz w:val="32"/>
          <w:szCs w:val="32"/>
        </w:rPr>
        <w:t xml:space="preserve">  </w:t>
      </w:r>
      <w:r>
        <w:rPr>
          <w:rFonts w:ascii="仿宋" w:hAnsi="仿宋" w:eastAsia="仿宋" w:cs="Times New Roman"/>
          <w:sz w:val="32"/>
          <w:szCs w:val="32"/>
        </w:rPr>
        <w:t>随着全球对能源需求的加大和传统能源资源的快速消耗，新能源产业得以迅速发展。</w:t>
      </w:r>
      <w:r>
        <w:rPr>
          <w:rFonts w:hint="eastAsia" w:ascii="仿宋" w:hAnsi="仿宋" w:eastAsia="仿宋" w:cs="Times New Roman"/>
          <w:sz w:val="32"/>
          <w:szCs w:val="32"/>
        </w:rPr>
        <w:t>国家明确提出要</w:t>
      </w:r>
      <w:r>
        <w:rPr>
          <w:rFonts w:ascii="仿宋" w:hAnsi="仿宋" w:eastAsia="仿宋" w:cs="Times New Roman"/>
          <w:sz w:val="32"/>
          <w:szCs w:val="32"/>
        </w:rPr>
        <w:t>大力培育和发展战略性新兴产业</w:t>
      </w:r>
      <w:r>
        <w:rPr>
          <w:rFonts w:hint="eastAsia" w:ascii="仿宋" w:hAnsi="仿宋" w:eastAsia="仿宋" w:cs="Times New Roman"/>
          <w:sz w:val="32"/>
          <w:szCs w:val="32"/>
        </w:rPr>
        <w:t>，要积极发展风电、太阳能光伏、太阳能热利用、新一代生物质能源、海洋能、地热能、氢能、新一代核能、智能电网和储能系统等关键技术、装备及系统。实施风力发电、高效太阳能、生物质能源、智能电网等科技产业化工程。与新能源产业的迅速发展，人才短缺的问题日趋明显，人才供给显得捉襟见肘。国有、民营及外资企业在风力发电、太阳能、生物智能等方面的人才需求将大幅放量。据估算，到2020年在风电领域的从业人员将会有几十万，其中包括几万名技术应用人员，负责开发、制造、安装、调试各类风电设备。对于快速发展的太阳能产业而言，人才供应同样面临严重不足。因此，亟待加大新能源产业人才的培养力度，以满足新能源产业发展对高素质技能型人才迫切的需求。根据学校实际，</w:t>
      </w:r>
      <w:r>
        <w:rPr>
          <w:rFonts w:ascii="仿宋" w:hAnsi="仿宋" w:eastAsia="仿宋" w:cs="Times New Roman"/>
          <w:sz w:val="32"/>
          <w:szCs w:val="32"/>
        </w:rPr>
        <w:t>开展光伏发电技术与应用</w:t>
      </w:r>
      <w:r>
        <w:rPr>
          <w:rFonts w:hint="eastAsia" w:ascii="仿宋" w:hAnsi="仿宋" w:eastAsia="仿宋" w:cs="Times New Roman"/>
          <w:sz w:val="32"/>
          <w:szCs w:val="32"/>
        </w:rPr>
        <w:t>、</w:t>
      </w:r>
      <w:r>
        <w:rPr>
          <w:rFonts w:ascii="仿宋" w:hAnsi="仿宋" w:eastAsia="仿宋" w:cs="Times New Roman"/>
          <w:sz w:val="32"/>
          <w:szCs w:val="32"/>
        </w:rPr>
        <w:t>风力发电工程技术</w:t>
      </w:r>
      <w:r>
        <w:rPr>
          <w:rFonts w:hint="eastAsia" w:ascii="仿宋" w:hAnsi="仿宋" w:eastAsia="仿宋" w:cs="Times New Roman"/>
          <w:sz w:val="32"/>
          <w:szCs w:val="32"/>
        </w:rPr>
        <w:t>、</w:t>
      </w:r>
      <w:r>
        <w:rPr>
          <w:rFonts w:ascii="仿宋" w:hAnsi="仿宋" w:eastAsia="仿宋" w:cs="Times New Roman"/>
          <w:sz w:val="32"/>
          <w:szCs w:val="32"/>
        </w:rPr>
        <w:t>风电系统运行与维护和生物质能应用技术等新专业申报</w:t>
      </w:r>
      <w:r>
        <w:rPr>
          <w:rFonts w:hint="eastAsia" w:ascii="仿宋" w:hAnsi="仿宋" w:eastAsia="仿宋" w:cs="Times New Roman"/>
          <w:sz w:val="32"/>
          <w:szCs w:val="32"/>
        </w:rPr>
        <w:t>，开设</w:t>
      </w:r>
      <w:r>
        <w:rPr>
          <w:rFonts w:ascii="仿宋" w:hAnsi="仿宋" w:eastAsia="仿宋" w:cs="Times New Roman"/>
          <w:sz w:val="32"/>
          <w:szCs w:val="32"/>
        </w:rPr>
        <w:t>新能源发电工程类新专业</w:t>
      </w:r>
      <w:r>
        <w:rPr>
          <w:rFonts w:hint="eastAsia" w:ascii="仿宋" w:hAnsi="仿宋" w:eastAsia="仿宋" w:cs="Times New Roman"/>
          <w:sz w:val="32"/>
          <w:szCs w:val="32"/>
        </w:rPr>
        <w:t>，</w:t>
      </w:r>
      <w:r>
        <w:rPr>
          <w:rFonts w:ascii="仿宋" w:hAnsi="仿宋" w:eastAsia="仿宋" w:cs="Times New Roman"/>
          <w:sz w:val="32"/>
          <w:szCs w:val="32"/>
        </w:rPr>
        <w:t>培养掌握新能源应用的基础专业理论和知识，具备对新能源应用设备的认识能力、分析能力和熟练操作能力；能适应太阳能、风能、生物质能等新能源应用产品的生产、管理与维护的能力，以及相关新能源设备的运行管理、调试维护维修等一线操作能力；具有良好职业道德、良好的沟通与协调能力、较强的服务意识和敬业精神的高素质技能型人才。</w:t>
      </w:r>
    </w:p>
    <w:p>
      <w:pPr>
        <w:pStyle w:val="12"/>
        <w:spacing w:line="360" w:lineRule="auto"/>
        <w:ind w:firstLine="643" w:firstLineChars="200"/>
        <w:rPr>
          <w:rFonts w:ascii="仿宋" w:hAnsi="仿宋" w:eastAsia="仿宋" w:cs="Times New Roman"/>
          <w:b/>
          <w:sz w:val="32"/>
          <w:szCs w:val="32"/>
        </w:rPr>
      </w:pPr>
      <w:bookmarkStart w:id="13" w:name="_Toc433011428"/>
      <w:r>
        <w:rPr>
          <w:rFonts w:hint="eastAsia" w:ascii="仿宋" w:hAnsi="仿宋" w:eastAsia="仿宋" w:cs="Times New Roman"/>
          <w:b/>
          <w:sz w:val="32"/>
          <w:szCs w:val="32"/>
        </w:rPr>
        <w:t>2</w:t>
      </w:r>
      <w:r>
        <w:rPr>
          <w:rFonts w:ascii="仿宋" w:hAnsi="仿宋" w:eastAsia="仿宋" w:cs="Times New Roman"/>
          <w:b/>
          <w:sz w:val="32"/>
          <w:szCs w:val="32"/>
        </w:rPr>
        <w:t>.</w:t>
      </w:r>
      <w:r>
        <w:rPr>
          <w:rFonts w:hint="eastAsia" w:ascii="仿宋" w:hAnsi="仿宋" w:eastAsia="仿宋" w:cs="Times New Roman"/>
          <w:b/>
          <w:sz w:val="32"/>
          <w:szCs w:val="32"/>
        </w:rPr>
        <w:t>加强创新创业教育</w:t>
      </w:r>
      <w:bookmarkEnd w:id="13"/>
      <w:r>
        <w:rPr>
          <w:rFonts w:hint="eastAsia" w:ascii="仿宋" w:hAnsi="仿宋" w:eastAsia="仿宋" w:cs="Times New Roman"/>
          <w:b/>
          <w:sz w:val="32"/>
          <w:szCs w:val="32"/>
        </w:rPr>
        <w:t>，促进专业教育与创新创业教育有机融合</w:t>
      </w:r>
    </w:p>
    <w:p>
      <w:pPr>
        <w:pStyle w:val="12"/>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学校制订“深化创新创业教育改革实施方案”，成立由校长担任组长的“西安电力高等专科学校创新创业教育工作领导小组”。设立创新创业计划专项资金，优化支出结构，统筹安排经费支持创新创业教育，资助学生创新创业项目。给更多的大学生提供创新训练、创业实践机会。</w:t>
      </w:r>
    </w:p>
    <w:p>
      <w:pPr>
        <w:pStyle w:val="12"/>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建立创新创业教育激励机制，完善教师参与创新创业教育工作的激励措施。将创新创业教育业绩纳入教师专业技术职务评聘和绩效考核内容并在专业技术职务评审中予以倾斜。鼓励教师兼职担任创新创业教育指导教师，并给予相应待遇。开展创新创业教育师资培训。将提高教师创新创业教育的意识和能力作为培训的重要内容。通过选送外出或邀请创新创业教育专家进校开设创新创业教育师资培训班，不断提升创新创业教育师资队伍的专业素质和业务能力。</w:t>
      </w:r>
    </w:p>
    <w:p>
      <w:pPr>
        <w:pStyle w:val="12"/>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强化创新创业教育理念的宣贯和培训。广泛开展多种形式、全员参与的创新创业教育专题学习和研讨活动，在全校师生中牢固树立正确的创新创业教育思想观念和“面向全体、人人参与”的改革意识，充分认识创新创业教育的重要性、必要性和紧迫性，科学把握创新创业教育与专业教育、素质教育、就业教育的内在联系。加强国家、省各项创新创业优惠扶持政策的宣传和落实工作。引导大学生熟悉并用好政策，营造创业良好氛围。充分利用网络、微博、微信、手机客户端等媒体，开展创新创业指导和服务工作。举办形式多样、内容丰富的讲座、报告、交流、参观等各种有针对性的培训，为学生扩大视野、提升创新创业动力和能力做好推动引导准备工作。</w:t>
      </w:r>
    </w:p>
    <w:p>
      <w:pPr>
        <w:pStyle w:val="12"/>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健全创新创业教育课程体系。将创新创业教育课程纳入人才培养方案，加强相关课程的开发，突出大学生创新精神、创业意识和创新创业能力培养，目前已经在各班级单独开设创新创业课程。深化创新创业教育课程体系建设，根据人才培养定位和创新创业教育目标要求，促进专业教育与创新创业教育有机融合。精简课堂教学总课时数，适当减少课程门数，增大学生自主学习的时间和空间，加大学生实践能力与创新精神培养的教学改革力度。开设技术前沿、创业基础、就业创业指导等方面的通识教育必修课和素质拓展课。将就业观、创新创业理念贯穿整个学习阶段，采用课堂教学配合相应的实践训练等形式开设。</w:t>
      </w:r>
    </w:p>
    <w:p>
      <w:pPr>
        <w:pStyle w:val="12"/>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开展形式多样的创新创业活动。以学生为主体，广泛开展启发式、讨论式、参与式和项目化教学，创造条件扩大小班化教学覆盖面，注重培养学生的创造性思维，鼓励教师把学术前沿发展、最新研究成果和创新实践经验融入课堂教学，激发学生创新创业灵感。组织学生参加“陕西省大学生创新创业训练营”，参加第二届中国“互联网+”大学生创新创业大赛和第二届“中国创翼”青年创业创新大赛，计划成立大学生创新创业社团，建立创新创业实践基地，将创新创业活动贯穿到到人才培养全过程。</w:t>
      </w:r>
    </w:p>
    <w:p>
      <w:pPr>
        <w:pStyle w:val="12"/>
        <w:spacing w:line="360" w:lineRule="auto"/>
        <w:ind w:firstLine="643" w:firstLineChars="200"/>
        <w:rPr>
          <w:rFonts w:ascii="仿宋" w:hAnsi="仿宋" w:eastAsia="仿宋" w:cs="Times New Roman"/>
          <w:b/>
          <w:sz w:val="32"/>
          <w:szCs w:val="32"/>
        </w:rPr>
      </w:pPr>
      <w:bookmarkStart w:id="14" w:name="_Toc433011433"/>
      <w:r>
        <w:rPr>
          <w:rFonts w:hint="eastAsia" w:ascii="仿宋" w:hAnsi="仿宋" w:eastAsia="仿宋" w:cs="Times New Roman"/>
          <w:b/>
          <w:sz w:val="32"/>
          <w:szCs w:val="32"/>
        </w:rPr>
        <w:t>（四）完善质量保障机制</w:t>
      </w:r>
      <w:bookmarkEnd w:id="14"/>
    </w:p>
    <w:p>
      <w:pPr>
        <w:pStyle w:val="12"/>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完成高等职业院校章程制定、修订工作，推动高等职业院校参照《高等学校学术委员会规程》设立学术委员会，参照《普通高等学校理事会规程（试行）》设立理事会或董事会机构。进一步完善人才培养质量年度报告制度，细化编写要求，明确量化指标，提高质量报告的可读性。以人才培养工作状态数据为基础，开展高职院校教学诊断和改进工作，促进全员、全过程、全方位人才培养质量控制。</w:t>
      </w:r>
    </w:p>
    <w:p>
      <w:pPr>
        <w:pStyle w:val="12"/>
        <w:spacing w:line="360" w:lineRule="auto"/>
        <w:ind w:firstLine="643" w:firstLineChars="200"/>
        <w:rPr>
          <w:rFonts w:ascii="仿宋" w:hAnsi="仿宋" w:eastAsia="仿宋" w:cs="Times New Roman"/>
          <w:b/>
          <w:sz w:val="32"/>
          <w:szCs w:val="32"/>
        </w:rPr>
      </w:pPr>
      <w:bookmarkStart w:id="15" w:name="_Toc433011435"/>
      <w:r>
        <w:rPr>
          <w:rFonts w:hint="eastAsia" w:ascii="仿宋" w:hAnsi="仿宋" w:eastAsia="仿宋" w:cs="Times New Roman"/>
          <w:b/>
          <w:sz w:val="32"/>
          <w:szCs w:val="32"/>
        </w:rPr>
        <w:t>1</w:t>
      </w:r>
      <w:r>
        <w:rPr>
          <w:rFonts w:ascii="仿宋" w:hAnsi="仿宋" w:eastAsia="仿宋" w:cs="Times New Roman"/>
          <w:b/>
          <w:sz w:val="32"/>
          <w:szCs w:val="32"/>
        </w:rPr>
        <w:t>.</w:t>
      </w:r>
      <w:r>
        <w:rPr>
          <w:rFonts w:hint="eastAsia" w:ascii="仿宋" w:hAnsi="仿宋" w:eastAsia="仿宋" w:cs="Times New Roman"/>
          <w:b/>
          <w:sz w:val="32"/>
          <w:szCs w:val="32"/>
        </w:rPr>
        <w:t>完善学校治理结构</w:t>
      </w:r>
      <w:bookmarkEnd w:id="15"/>
      <w:r>
        <w:rPr>
          <w:rFonts w:hint="eastAsia" w:ascii="仿宋" w:hAnsi="仿宋" w:eastAsia="仿宋" w:cs="Times New Roman"/>
          <w:b/>
          <w:sz w:val="32"/>
          <w:szCs w:val="32"/>
        </w:rPr>
        <w:t>，提高学校自主治理水平</w:t>
      </w:r>
    </w:p>
    <w:p>
      <w:pPr>
        <w:pStyle w:val="12"/>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落实《高等学校章程制定暂行办法》，建立健全依法自主管理、民主监督、社会参与的学校治理结构。完成学校“一章八制”章程制定、修订工作，即制定学校学章程和高校党委领导下的校长负责制、教职工代表大会制度、学术委员会制度、理事会制度、教师申诉制度、学生申诉制度、财经委员会制度、信息公开制度。设立学术委员会并制定规程；设立理事会机构或者董事会机构并制定相应制度。</w:t>
      </w:r>
    </w:p>
    <w:p>
      <w:pPr>
        <w:pStyle w:val="12"/>
        <w:spacing w:line="360" w:lineRule="auto"/>
        <w:ind w:firstLine="643" w:firstLineChars="200"/>
        <w:rPr>
          <w:rFonts w:ascii="仿宋" w:hAnsi="仿宋" w:eastAsia="仿宋" w:cs="Times New Roman"/>
          <w:b/>
          <w:sz w:val="32"/>
          <w:szCs w:val="32"/>
        </w:rPr>
      </w:pPr>
      <w:bookmarkStart w:id="16" w:name="_Toc433011436"/>
      <w:r>
        <w:rPr>
          <w:rFonts w:hint="eastAsia" w:ascii="仿宋" w:hAnsi="仿宋" w:eastAsia="仿宋" w:cs="Times New Roman"/>
          <w:b/>
          <w:sz w:val="32"/>
          <w:szCs w:val="32"/>
        </w:rPr>
        <w:t>2</w:t>
      </w:r>
      <w:r>
        <w:rPr>
          <w:rFonts w:ascii="仿宋" w:hAnsi="仿宋" w:eastAsia="仿宋" w:cs="Times New Roman"/>
          <w:b/>
          <w:sz w:val="32"/>
          <w:szCs w:val="32"/>
        </w:rPr>
        <w:t>.</w:t>
      </w:r>
      <w:r>
        <w:rPr>
          <w:rFonts w:hint="eastAsia" w:ascii="仿宋" w:hAnsi="仿宋" w:eastAsia="仿宋" w:cs="Times New Roman"/>
          <w:b/>
          <w:sz w:val="32"/>
          <w:szCs w:val="32"/>
        </w:rPr>
        <w:t>完善质量年报制度</w:t>
      </w:r>
      <w:bookmarkEnd w:id="16"/>
      <w:r>
        <w:rPr>
          <w:rFonts w:hint="eastAsia" w:ascii="仿宋" w:hAnsi="仿宋" w:eastAsia="仿宋" w:cs="Times New Roman"/>
          <w:b/>
          <w:sz w:val="32"/>
          <w:szCs w:val="32"/>
        </w:rPr>
        <w:t>，提高质量报告的可读性</w:t>
      </w:r>
    </w:p>
    <w:p>
      <w:pPr>
        <w:pStyle w:val="12"/>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通过调研</w:t>
      </w:r>
      <w:r>
        <w:rPr>
          <w:rFonts w:ascii="仿宋" w:hAnsi="仿宋" w:eastAsia="仿宋" w:cs="Times New Roman"/>
          <w:sz w:val="32"/>
          <w:szCs w:val="32"/>
        </w:rPr>
        <w:t>1-2</w:t>
      </w:r>
      <w:r>
        <w:rPr>
          <w:rFonts w:hint="eastAsia" w:ascii="仿宋" w:hAnsi="仿宋" w:eastAsia="仿宋" w:cs="Times New Roman"/>
          <w:sz w:val="32"/>
          <w:szCs w:val="32"/>
        </w:rPr>
        <w:t>所高职院校，了解其它学校教学质量管理模式及方法，选择性的借鉴优秀管理方法，结合学校实际情况，完善学校教育质量报告撰写工作方法。组织专家一同探讨学校教育质量年度报告，明确教育质量报告编写要求及量化指标并完善相关教学质量监控管理办法。合理采纳专家意见，完善教学检查工作管理办法、教学评价工作管理办法、学生学业成绩分析管理办法、学生教学信息员工作管理办法、教学督导工作管理办法。</w:t>
      </w:r>
    </w:p>
    <w:p>
      <w:pPr>
        <w:pStyle w:val="12"/>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聘请高水平的专兼职教师及教学教育管理专家，建立结构合理的教学督导队伍。加强教学督导人员的培训，提高教学督导人员的业务素质。建立“督导报告制度”，提高教学督导的效能。组织相关专家成立教育质量报告专业审核小组，邀请经验丰富的质量管理专家共同参与当年度学校教育质量报告审核工作，形成多方审核我校教育质量年度报告。</w:t>
      </w:r>
    </w:p>
    <w:p>
      <w:pPr>
        <w:pStyle w:val="12"/>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学校委托教育咨询机构作为第三方，拟开展</w:t>
      </w:r>
      <w:r>
        <w:rPr>
          <w:rFonts w:ascii="仿宋" w:hAnsi="仿宋" w:eastAsia="仿宋" w:cs="Times New Roman"/>
          <w:sz w:val="32"/>
          <w:szCs w:val="32"/>
        </w:rPr>
        <w:t>2018</w:t>
      </w:r>
      <w:r>
        <w:rPr>
          <w:rFonts w:hint="eastAsia" w:ascii="仿宋" w:hAnsi="仿宋" w:eastAsia="仿宋" w:cs="Times New Roman"/>
          <w:sz w:val="32"/>
          <w:szCs w:val="32"/>
        </w:rPr>
        <w:t>年度教育质量年度报告撰写工作，完成并发布西安电力高等专科学校教育质量年度报告。探索学校提升教学质量新的方向，找出学校教学质量关键问题，全面提升人才培养质量。</w:t>
      </w:r>
    </w:p>
    <w:p>
      <w:pPr>
        <w:pStyle w:val="12"/>
        <w:spacing w:line="360" w:lineRule="auto"/>
        <w:ind w:firstLine="643" w:firstLineChars="200"/>
        <w:rPr>
          <w:rFonts w:ascii="仿宋" w:hAnsi="仿宋" w:eastAsia="仿宋" w:cs="Times New Roman"/>
          <w:b/>
          <w:sz w:val="32"/>
          <w:szCs w:val="32"/>
        </w:rPr>
      </w:pPr>
      <w:bookmarkStart w:id="17" w:name="_Toc433011437"/>
      <w:r>
        <w:rPr>
          <w:rFonts w:hint="eastAsia" w:ascii="仿宋" w:hAnsi="仿宋" w:eastAsia="仿宋" w:cs="Times New Roman"/>
          <w:b/>
          <w:sz w:val="32"/>
          <w:szCs w:val="32"/>
        </w:rPr>
        <w:t>3</w:t>
      </w:r>
      <w:r>
        <w:rPr>
          <w:rFonts w:ascii="仿宋" w:hAnsi="仿宋" w:eastAsia="仿宋" w:cs="Times New Roman"/>
          <w:b/>
          <w:sz w:val="32"/>
          <w:szCs w:val="32"/>
        </w:rPr>
        <w:t>.</w:t>
      </w:r>
      <w:r>
        <w:rPr>
          <w:rFonts w:hint="eastAsia" w:ascii="仿宋" w:hAnsi="仿宋" w:eastAsia="仿宋" w:cs="Times New Roman"/>
          <w:b/>
          <w:sz w:val="32"/>
          <w:szCs w:val="32"/>
        </w:rPr>
        <w:t>建立诊断改进机制</w:t>
      </w:r>
      <w:bookmarkEnd w:id="17"/>
      <w:r>
        <w:rPr>
          <w:rFonts w:hint="eastAsia" w:ascii="仿宋" w:hAnsi="仿宋" w:eastAsia="仿宋" w:cs="Times New Roman"/>
          <w:b/>
          <w:sz w:val="32"/>
          <w:szCs w:val="32"/>
        </w:rPr>
        <w:t>，完善学校内部质量保证体系</w:t>
      </w:r>
    </w:p>
    <w:p>
      <w:pPr>
        <w:pStyle w:val="12"/>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根据教育部、省教育厅文件精神，成立质量保障体系诊断和改进工作领导小组，在专家的指导下，充分理解内部质量保证体系诊断与改进的内涵、目标及具体任务，立足学校发展实际，制定建设规划，细化工作内容，定具有自身特色的内部质量保证体系诊改工作建设规划和实施方案。</w:t>
      </w:r>
    </w:p>
    <w:p>
      <w:pPr>
        <w:pStyle w:val="12"/>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准确把握诊改工作目的意义和工作重点，在决策指挥、质量生成、资源建设、支持服务和监督控制等五个纵向系统及学校、专业、课程、教师、学生等五个横向层面建立完整且相对独立的自我质量保证机制，强化学校各层级管理系统间的质量依存关系，形成全要素网络化全覆盖的内部质量保证体系。</w:t>
      </w:r>
    </w:p>
    <w:p>
      <w:pPr>
        <w:pStyle w:val="12"/>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以</w:t>
      </w:r>
      <w:r>
        <w:rPr>
          <w:rFonts w:ascii="仿宋" w:hAnsi="仿宋" w:eastAsia="仿宋" w:cs="Times New Roman"/>
          <w:sz w:val="32"/>
          <w:szCs w:val="32"/>
        </w:rPr>
        <w:t>“</w:t>
      </w:r>
      <w:r>
        <w:rPr>
          <w:rFonts w:hint="eastAsia" w:ascii="仿宋" w:hAnsi="仿宋" w:eastAsia="仿宋" w:cs="Times New Roman"/>
          <w:sz w:val="32"/>
          <w:szCs w:val="32"/>
        </w:rPr>
        <w:t>目标、标准、设计、组织、实施、诊断、创新、改进</w:t>
      </w:r>
      <w:r>
        <w:rPr>
          <w:rFonts w:ascii="仿宋" w:hAnsi="仿宋" w:eastAsia="仿宋" w:cs="Times New Roman"/>
          <w:sz w:val="32"/>
          <w:szCs w:val="32"/>
        </w:rPr>
        <w:t>”</w:t>
      </w:r>
      <w:r>
        <w:rPr>
          <w:rFonts w:hint="eastAsia" w:ascii="仿宋" w:hAnsi="仿宋" w:eastAsia="仿宋" w:cs="Times New Roman"/>
          <w:sz w:val="32"/>
          <w:szCs w:val="32"/>
        </w:rPr>
        <w:t>质量螺旋为基础，结合办学特色，厘清诊改要素内涵，明确工作任务与质量螺旋各要素关系，在充分研讨的基础上，构建各层面诊改螺旋框架，推动自主诊改顺利实施。迎接省教育厅的复核，检验学校自主诊改工作的有效程度。</w:t>
      </w:r>
    </w:p>
    <w:p>
      <w:pPr>
        <w:pStyle w:val="12"/>
        <w:spacing w:line="360" w:lineRule="auto"/>
        <w:ind w:firstLine="643" w:firstLineChars="200"/>
        <w:rPr>
          <w:rFonts w:ascii="仿宋" w:hAnsi="仿宋" w:eastAsia="仿宋" w:cs="Times New Roman"/>
          <w:b/>
          <w:sz w:val="32"/>
          <w:szCs w:val="32"/>
        </w:rPr>
      </w:pPr>
      <w:bookmarkStart w:id="18" w:name="_Toc433011438"/>
      <w:r>
        <w:rPr>
          <w:rFonts w:hint="eastAsia" w:ascii="仿宋" w:hAnsi="仿宋" w:eastAsia="仿宋" w:cs="Times New Roman"/>
          <w:b/>
          <w:sz w:val="32"/>
          <w:szCs w:val="32"/>
        </w:rPr>
        <w:t>5</w:t>
      </w:r>
      <w:r>
        <w:rPr>
          <w:rFonts w:ascii="仿宋" w:hAnsi="仿宋" w:eastAsia="仿宋" w:cs="Times New Roman"/>
          <w:b/>
          <w:sz w:val="32"/>
          <w:szCs w:val="32"/>
        </w:rPr>
        <w:t>.</w:t>
      </w:r>
      <w:r>
        <w:rPr>
          <w:rFonts w:hint="eastAsia" w:ascii="仿宋" w:hAnsi="仿宋" w:eastAsia="仿宋" w:cs="Times New Roman"/>
          <w:b/>
          <w:sz w:val="32"/>
          <w:szCs w:val="32"/>
        </w:rPr>
        <w:t>改进教师管理</w:t>
      </w:r>
      <w:bookmarkEnd w:id="18"/>
      <w:r>
        <w:rPr>
          <w:rFonts w:hint="eastAsia" w:ascii="仿宋" w:hAnsi="仿宋" w:eastAsia="仿宋" w:cs="Times New Roman"/>
          <w:b/>
          <w:sz w:val="32"/>
          <w:szCs w:val="32"/>
        </w:rPr>
        <w:t>，激发教师活力</w:t>
      </w:r>
    </w:p>
    <w:p>
      <w:pPr>
        <w:pStyle w:val="12"/>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加强教师分类管理、分类评价的人事管理制度改革，根据实际制定有利于激发和调动教师的主动性、积极性、创造性新型管理制度，开展岗位分类管理，划分为教学型岗位、培训型岗位、教学培训型岗位、服务企业科研岗位等，从而构建教师岗位分类管理体系。全面推行按岗聘用、竞聘上岗，实行量化考核和绩效评价，推行按岗聘用、竞聘上岗遵循按需设岗、平等竞争、择优聘任的原则。实施岗位聘任与技术资格相分离，以岗定薪。同时加强考核机制，充分发挥学校现有人力资源优势，</w:t>
      </w:r>
      <w:r>
        <w:rPr>
          <w:rFonts w:ascii="仿宋" w:hAnsi="仿宋" w:eastAsia="仿宋" w:cs="Times New Roman"/>
          <w:sz w:val="32"/>
          <w:szCs w:val="32"/>
        </w:rPr>
        <w:t>探索设置</w:t>
      </w:r>
      <w:r>
        <w:rPr>
          <w:rFonts w:hint="eastAsia" w:ascii="仿宋" w:hAnsi="仿宋" w:eastAsia="仿宋" w:cs="Times New Roman"/>
          <w:sz w:val="32"/>
          <w:szCs w:val="32"/>
        </w:rPr>
        <w:t>教学</w:t>
      </w:r>
      <w:r>
        <w:rPr>
          <w:rFonts w:ascii="仿宋" w:hAnsi="仿宋" w:eastAsia="仿宋" w:cs="Times New Roman"/>
          <w:sz w:val="32"/>
          <w:szCs w:val="32"/>
        </w:rPr>
        <w:t>岗位</w:t>
      </w:r>
      <w:r>
        <w:rPr>
          <w:rFonts w:hint="eastAsia" w:ascii="仿宋" w:hAnsi="仿宋" w:eastAsia="仿宋" w:cs="Times New Roman"/>
          <w:sz w:val="32"/>
          <w:szCs w:val="32"/>
        </w:rPr>
        <w:t>、培训岗位、教学培训并重岗位、实验教学岗位、学生思政岗位</w:t>
      </w:r>
      <w:r>
        <w:rPr>
          <w:rFonts w:ascii="仿宋" w:hAnsi="仿宋" w:eastAsia="仿宋" w:cs="Times New Roman"/>
          <w:sz w:val="32"/>
          <w:szCs w:val="32"/>
        </w:rPr>
        <w:t>和</w:t>
      </w:r>
      <w:r>
        <w:rPr>
          <w:rFonts w:hint="eastAsia" w:ascii="仿宋" w:hAnsi="仿宋" w:eastAsia="仿宋" w:cs="Times New Roman"/>
          <w:sz w:val="32"/>
          <w:szCs w:val="32"/>
        </w:rPr>
        <w:t>服务企业</w:t>
      </w:r>
      <w:r>
        <w:rPr>
          <w:rFonts w:ascii="仿宋" w:hAnsi="仿宋" w:eastAsia="仿宋" w:cs="Times New Roman"/>
          <w:sz w:val="32"/>
          <w:szCs w:val="32"/>
        </w:rPr>
        <w:t>科研岗位</w:t>
      </w:r>
      <w:r>
        <w:rPr>
          <w:rFonts w:hint="eastAsia" w:ascii="仿宋" w:hAnsi="仿宋" w:eastAsia="仿宋" w:cs="Times New Roman"/>
          <w:sz w:val="32"/>
          <w:szCs w:val="32"/>
        </w:rPr>
        <w:t>等</w:t>
      </w:r>
      <w:r>
        <w:rPr>
          <w:rFonts w:ascii="仿宋" w:hAnsi="仿宋" w:eastAsia="仿宋" w:cs="Times New Roman"/>
          <w:sz w:val="32"/>
          <w:szCs w:val="32"/>
        </w:rPr>
        <w:t>，进一步构建多元化用人格局</w:t>
      </w:r>
      <w:r>
        <w:rPr>
          <w:rFonts w:hint="eastAsia" w:ascii="仿宋" w:hAnsi="仿宋" w:eastAsia="仿宋" w:cs="Times New Roman"/>
          <w:sz w:val="32"/>
          <w:szCs w:val="32"/>
        </w:rPr>
        <w:t>，实行教师岗位聘任动态管理，形成能上能下的管理体制。</w:t>
      </w:r>
    </w:p>
    <w:p>
      <w:pPr>
        <w:pStyle w:val="12"/>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围绕实现高校的“人才培养、科学研究、社会服务”三大任务，设置教师绩效评价指标体系，在共性指标内容的框架内选取若干有价值的教师个性要求，以使评价更符合高校教师的工作特点。采用定性评价与定量评价相结合的方式，准确把握教师工作实践中的观念、知识、价值与信念等诸多描述性的内容，激活教师主动而持续性的专业学习和发展的内在动力，对教师工作进行全面辨证的综合评价，体现对教师自身发展的关注，也使教师评价更为准确、科学。对助教、讲师、副教授、教授制定不同的考评标准，按照学校岗位设置的要求，完善相应评价标准。同时，将教师的考核评价与校内管理人员、服务人员的考核评价相结合，促进学校全员绩效评价体系的完善。将55以下的教授、副教授每学期至少讲授一门课程的要求落实到考核评价制度中。</w:t>
      </w:r>
    </w:p>
    <w:p>
      <w:pPr>
        <w:pStyle w:val="12"/>
        <w:spacing w:line="360" w:lineRule="auto"/>
        <w:ind w:firstLine="643" w:firstLineChars="200"/>
        <w:rPr>
          <w:rFonts w:ascii="仿宋" w:hAnsi="仿宋" w:eastAsia="仿宋" w:cs="Times New Roman"/>
          <w:b/>
          <w:sz w:val="32"/>
          <w:szCs w:val="32"/>
        </w:rPr>
      </w:pPr>
      <w:bookmarkStart w:id="19" w:name="_Toc433011439"/>
      <w:r>
        <w:rPr>
          <w:rFonts w:hint="eastAsia" w:ascii="仿宋" w:hAnsi="仿宋" w:eastAsia="仿宋" w:cs="Times New Roman"/>
          <w:b/>
          <w:sz w:val="32"/>
          <w:szCs w:val="32"/>
        </w:rPr>
        <w:t>6</w:t>
      </w:r>
      <w:r>
        <w:rPr>
          <w:rFonts w:ascii="仿宋" w:hAnsi="仿宋" w:eastAsia="仿宋" w:cs="Times New Roman"/>
          <w:b/>
          <w:sz w:val="32"/>
          <w:szCs w:val="32"/>
        </w:rPr>
        <w:t>.</w:t>
      </w:r>
      <w:bookmarkEnd w:id="19"/>
      <w:r>
        <w:rPr>
          <w:rFonts w:hint="eastAsia" w:ascii="仿宋" w:hAnsi="仿宋" w:eastAsia="仿宋" w:cs="Times New Roman"/>
          <w:b/>
          <w:sz w:val="32"/>
          <w:szCs w:val="32"/>
        </w:rPr>
        <w:t>加强高等职业教育研究机构和队伍建设，支持相关研究工作</w:t>
      </w:r>
    </w:p>
    <w:p>
      <w:pPr>
        <w:pStyle w:val="12"/>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加强学校高等职业教育研究机构和队伍建设，组建教育教学研究团队，主要开展专业建设、课程建设、教学方法和手段、教学质量管理等课题研究。2016年建设高等</w:t>
      </w:r>
      <w:r>
        <w:rPr>
          <w:rFonts w:ascii="仿宋" w:hAnsi="仿宋" w:eastAsia="仿宋" w:cs="Times New Roman"/>
          <w:sz w:val="32"/>
          <w:szCs w:val="32"/>
        </w:rPr>
        <w:t>职业教育教学</w:t>
      </w:r>
      <w:r>
        <w:rPr>
          <w:rFonts w:hint="eastAsia" w:ascii="仿宋" w:hAnsi="仿宋" w:eastAsia="仿宋" w:cs="Times New Roman"/>
          <w:sz w:val="32"/>
          <w:szCs w:val="32"/>
        </w:rPr>
        <w:t>、</w:t>
      </w:r>
      <w:r>
        <w:rPr>
          <w:rFonts w:ascii="仿宋" w:hAnsi="仿宋" w:eastAsia="仿宋" w:cs="Times New Roman"/>
          <w:sz w:val="32"/>
          <w:szCs w:val="32"/>
        </w:rPr>
        <w:t>继电保护专业</w:t>
      </w:r>
      <w:r>
        <w:rPr>
          <w:rFonts w:hint="eastAsia" w:ascii="仿宋" w:hAnsi="仿宋" w:eastAsia="仿宋" w:cs="Times New Roman"/>
          <w:sz w:val="32"/>
          <w:szCs w:val="32"/>
        </w:rPr>
        <w:t>、</w:t>
      </w:r>
      <w:r>
        <w:rPr>
          <w:rFonts w:ascii="仿宋" w:hAnsi="仿宋" w:eastAsia="仿宋" w:cs="Times New Roman"/>
          <w:sz w:val="32"/>
          <w:szCs w:val="32"/>
        </w:rPr>
        <w:t>火电厂集控运行</w:t>
      </w:r>
      <w:r>
        <w:rPr>
          <w:rFonts w:hint="eastAsia" w:ascii="仿宋" w:hAnsi="仿宋" w:eastAsia="仿宋" w:cs="Times New Roman"/>
          <w:sz w:val="32"/>
          <w:szCs w:val="32"/>
        </w:rPr>
        <w:t>专业共3个教育教学研究团队；2017年建设</w:t>
      </w:r>
      <w:r>
        <w:rPr>
          <w:rFonts w:ascii="仿宋" w:hAnsi="仿宋" w:eastAsia="仿宋" w:cs="Times New Roman"/>
          <w:sz w:val="32"/>
          <w:szCs w:val="32"/>
        </w:rPr>
        <w:t>电力营销专业</w:t>
      </w:r>
      <w:r>
        <w:rPr>
          <w:rFonts w:hint="eastAsia" w:ascii="仿宋" w:hAnsi="仿宋" w:eastAsia="仿宋" w:cs="Times New Roman"/>
          <w:sz w:val="32"/>
          <w:szCs w:val="32"/>
        </w:rPr>
        <w:t>、信息通信专业、</w:t>
      </w:r>
      <w:r>
        <w:rPr>
          <w:rFonts w:ascii="仿宋" w:hAnsi="仿宋" w:eastAsia="仿宋" w:cs="Times New Roman"/>
          <w:sz w:val="32"/>
          <w:szCs w:val="32"/>
        </w:rPr>
        <w:t>思想政治教育</w:t>
      </w:r>
      <w:r>
        <w:rPr>
          <w:rFonts w:hint="eastAsia" w:ascii="仿宋" w:hAnsi="仿宋" w:eastAsia="仿宋" w:cs="Times New Roman"/>
          <w:sz w:val="32"/>
          <w:szCs w:val="32"/>
        </w:rPr>
        <w:t>、</w:t>
      </w:r>
      <w:r>
        <w:rPr>
          <w:rFonts w:ascii="仿宋" w:hAnsi="仿宋" w:eastAsia="仿宋" w:cs="Times New Roman"/>
          <w:sz w:val="32"/>
          <w:szCs w:val="32"/>
        </w:rPr>
        <w:t>大学基础课教学</w:t>
      </w:r>
      <w:r>
        <w:rPr>
          <w:rFonts w:hint="eastAsia" w:ascii="仿宋" w:hAnsi="仿宋" w:eastAsia="仿宋" w:cs="Times New Roman"/>
          <w:sz w:val="32"/>
          <w:szCs w:val="32"/>
        </w:rPr>
        <w:t>、智能电网与新能源共5个教育教学研究团队；2018年建设变电运维、二次运维专业、</w:t>
      </w:r>
      <w:r>
        <w:rPr>
          <w:rFonts w:ascii="仿宋" w:hAnsi="仿宋" w:eastAsia="仿宋" w:cs="Times New Roman"/>
          <w:sz w:val="32"/>
          <w:szCs w:val="32"/>
        </w:rPr>
        <w:t>电力营销咨询</w:t>
      </w:r>
      <w:r>
        <w:rPr>
          <w:rFonts w:hint="eastAsia" w:ascii="仿宋" w:hAnsi="仿宋" w:eastAsia="仿宋" w:cs="Times New Roman"/>
          <w:sz w:val="32"/>
          <w:szCs w:val="32"/>
        </w:rPr>
        <w:t>、</w:t>
      </w:r>
      <w:r>
        <w:rPr>
          <w:rFonts w:ascii="仿宋" w:hAnsi="仿宋" w:eastAsia="仿宋" w:cs="Times New Roman"/>
          <w:sz w:val="32"/>
          <w:szCs w:val="32"/>
        </w:rPr>
        <w:t>输配电线路专业</w:t>
      </w:r>
      <w:r>
        <w:rPr>
          <w:rFonts w:hint="eastAsia" w:ascii="仿宋" w:hAnsi="仿宋" w:eastAsia="仿宋" w:cs="Times New Roman"/>
          <w:sz w:val="32"/>
          <w:szCs w:val="32"/>
        </w:rPr>
        <w:t>、</w:t>
      </w:r>
      <w:r>
        <w:rPr>
          <w:rFonts w:ascii="仿宋" w:hAnsi="仿宋" w:eastAsia="仿宋" w:cs="Times New Roman"/>
          <w:sz w:val="32"/>
          <w:szCs w:val="32"/>
        </w:rPr>
        <w:t>心理健康教育</w:t>
      </w:r>
      <w:r>
        <w:rPr>
          <w:rFonts w:hint="eastAsia" w:ascii="仿宋" w:hAnsi="仿宋" w:eastAsia="仿宋" w:cs="Times New Roman"/>
          <w:sz w:val="32"/>
          <w:szCs w:val="32"/>
        </w:rPr>
        <w:t>共5个教育教学研究团队。</w:t>
      </w:r>
    </w:p>
    <w:p>
      <w:pPr>
        <w:pStyle w:val="12"/>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加大投入支持相关研究工作，设立教育教学改革研究专项基金，学校争取每年投入20万元专项经费，围绕示范性高职院校建设，开展职业教育教学研究，每年完成专项基金资助项目10项。结合每年教育教学研究课题，制定专项培训计划，每年开展4次教科研能力提升培训，提升团队教学研究水平。鼓励教师积极提炼教研成果，设立学校教学研究专项成果奖，培育有潜力的研究成果参与省部级、国家级教学成果奖申报。依托教学研究团队建设，将团队负责人打造为学校教学名师，并推荐优秀的团队负责人参与省级教学名师评选。依托省级教学名师，开展名师工作室建设。鼓励教师发表论文、出版教材、专著，资助教师发表论文版面费，每年开展优秀论文评选活动，印制优秀论文集。建立机制推动成果应用，每年召开一次教科研成果评审会，将应用效果做为成果评审条件，评选优秀成果给予表彰奖励。</w:t>
      </w:r>
    </w:p>
    <w:p>
      <w:pPr>
        <w:pStyle w:val="12"/>
        <w:spacing w:line="360" w:lineRule="auto"/>
        <w:ind w:firstLine="643" w:firstLineChars="200"/>
        <w:rPr>
          <w:rFonts w:ascii="仿宋" w:hAnsi="仿宋" w:eastAsia="仿宋" w:cs="Times New Roman"/>
          <w:b/>
          <w:sz w:val="32"/>
          <w:szCs w:val="32"/>
        </w:rPr>
      </w:pPr>
      <w:bookmarkStart w:id="20" w:name="_Toc433011440"/>
      <w:r>
        <w:rPr>
          <w:rFonts w:hint="eastAsia" w:ascii="仿宋" w:hAnsi="仿宋" w:eastAsia="仿宋" w:cs="Times New Roman"/>
          <w:b/>
          <w:sz w:val="32"/>
          <w:szCs w:val="32"/>
        </w:rPr>
        <w:t>（</w:t>
      </w:r>
      <w:bookmarkStart w:id="21" w:name="_Toc409764075"/>
      <w:r>
        <w:rPr>
          <w:rFonts w:hint="eastAsia" w:ascii="仿宋" w:hAnsi="仿宋" w:eastAsia="仿宋" w:cs="Times New Roman"/>
          <w:b/>
          <w:sz w:val="32"/>
          <w:szCs w:val="32"/>
        </w:rPr>
        <w:t>五）</w:t>
      </w:r>
      <w:bookmarkEnd w:id="21"/>
      <w:r>
        <w:rPr>
          <w:rFonts w:hint="eastAsia" w:ascii="仿宋" w:hAnsi="仿宋" w:eastAsia="仿宋" w:cs="Times New Roman"/>
          <w:b/>
          <w:sz w:val="32"/>
          <w:szCs w:val="32"/>
        </w:rPr>
        <w:t>提升思想政治教育质量</w:t>
      </w:r>
      <w:bookmarkEnd w:id="20"/>
    </w:p>
    <w:p>
      <w:pPr>
        <w:pStyle w:val="12"/>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加强以职业道德培养和职业素质养成为特点的高等职业教育学生思想政治教育工作，着力培养既掌握熟练技术，又坚守职业精神的技术技能人才。</w:t>
      </w:r>
    </w:p>
    <w:p>
      <w:pPr>
        <w:pStyle w:val="12"/>
        <w:spacing w:line="360" w:lineRule="auto"/>
        <w:ind w:firstLine="643" w:firstLineChars="200"/>
        <w:rPr>
          <w:rFonts w:ascii="仿宋" w:hAnsi="仿宋" w:eastAsia="仿宋" w:cs="Times New Roman"/>
          <w:b/>
          <w:sz w:val="32"/>
          <w:szCs w:val="32"/>
        </w:rPr>
      </w:pPr>
      <w:bookmarkStart w:id="22" w:name="_Toc409764076"/>
      <w:bookmarkStart w:id="23" w:name="_Toc433011441"/>
      <w:r>
        <w:rPr>
          <w:rFonts w:hint="eastAsia" w:ascii="仿宋" w:hAnsi="仿宋" w:eastAsia="仿宋" w:cs="Times New Roman"/>
          <w:b/>
          <w:sz w:val="32"/>
          <w:szCs w:val="32"/>
        </w:rPr>
        <w:t>1</w:t>
      </w:r>
      <w:r>
        <w:rPr>
          <w:rFonts w:ascii="仿宋" w:hAnsi="仿宋" w:eastAsia="仿宋" w:cs="Times New Roman"/>
          <w:b/>
          <w:sz w:val="32"/>
          <w:szCs w:val="32"/>
        </w:rPr>
        <w:t>.</w:t>
      </w:r>
      <w:r>
        <w:rPr>
          <w:rFonts w:hint="eastAsia" w:ascii="仿宋" w:hAnsi="仿宋" w:eastAsia="仿宋" w:cs="Times New Roman"/>
          <w:b/>
          <w:sz w:val="32"/>
          <w:szCs w:val="32"/>
        </w:rPr>
        <w:t>加强辅导员队伍建设，</w:t>
      </w:r>
      <w:bookmarkEnd w:id="22"/>
      <w:bookmarkEnd w:id="23"/>
      <w:r>
        <w:rPr>
          <w:rFonts w:hint="eastAsia" w:ascii="仿宋" w:hAnsi="仿宋" w:eastAsia="仿宋" w:cs="Times New Roman"/>
          <w:b/>
          <w:sz w:val="32"/>
          <w:szCs w:val="32"/>
        </w:rPr>
        <w:t>提高业务素质</w:t>
      </w:r>
    </w:p>
    <w:p>
      <w:pPr>
        <w:pStyle w:val="12"/>
        <w:spacing w:line="360" w:lineRule="auto"/>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围绕提升大学生思想政治教育工作精细化和科学化水平、服务大学生健康成长成才这一中心任务，通过三年的努力，实现“三个更加”即：使辅导员队伍建设的体制机制更加健全，辅导员队伍的培养体系更加完善，辅导员队伍的发展渠道更加畅通；体现“三个显著”即：辅导员队伍的专业化水平显著提高，辅导员队伍的工作质量显著提升，辅导员队伍的职业认同感显著增强。</w:t>
      </w:r>
    </w:p>
    <w:p>
      <w:pPr>
        <w:pStyle w:val="12"/>
        <w:spacing w:line="360" w:lineRule="auto"/>
        <w:ind w:firstLine="643" w:firstLineChars="200"/>
        <w:rPr>
          <w:rFonts w:hint="eastAsia" w:ascii="仿宋" w:hAnsi="仿宋" w:eastAsia="仿宋" w:cs="Times New Roman"/>
          <w:b/>
          <w:sz w:val="32"/>
          <w:szCs w:val="32"/>
        </w:rPr>
      </w:pPr>
      <w:r>
        <w:rPr>
          <w:rFonts w:hint="eastAsia" w:ascii="仿宋" w:hAnsi="仿宋" w:eastAsia="仿宋" w:cs="Times New Roman"/>
          <w:b/>
          <w:sz w:val="32"/>
          <w:szCs w:val="32"/>
          <w:lang w:val="en-US" w:eastAsia="zh-CN"/>
        </w:rPr>
        <w:t>2.</w:t>
      </w:r>
      <w:r>
        <w:rPr>
          <w:rFonts w:hint="eastAsia" w:ascii="仿宋" w:hAnsi="仿宋" w:eastAsia="仿宋" w:cs="Times New Roman"/>
          <w:b/>
          <w:sz w:val="32"/>
          <w:szCs w:val="32"/>
        </w:rPr>
        <w:t>创建平安校园、和谐校园</w:t>
      </w:r>
    </w:p>
    <w:p>
      <w:pPr>
        <w:pStyle w:val="12"/>
        <w:spacing w:line="360" w:lineRule="auto"/>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rPr>
        <w:t>学校“平安校园”创建工作，能够严格的按照中共陕西省委高教工委、陕西省综治办、陕西省公安厅关于“平安校园”创建的要求，以办好学校教育为目标，紧密结合学校的教育发展和稳定的实际，坚持教育与管理、治理与建设相结合，解放思想、实事求是、与时俱进、求真务实、全面提升校内安全防范水平，不断提升应对各类恐怖突发事件的预防及处置能力，切实维护校内及周边治安秩序，积极营造安全、稳定、文明、健康、和谐有序的育人环境。</w:t>
      </w:r>
    </w:p>
    <w:p>
      <w:pPr>
        <w:pStyle w:val="12"/>
        <w:spacing w:line="360" w:lineRule="auto"/>
        <w:ind w:firstLine="643" w:firstLineChars="200"/>
        <w:rPr>
          <w:rFonts w:ascii="仿宋" w:hAnsi="仿宋" w:eastAsia="仿宋" w:cs="Times New Roman"/>
          <w:b/>
          <w:sz w:val="32"/>
          <w:szCs w:val="32"/>
        </w:rPr>
      </w:pPr>
      <w:r>
        <w:rPr>
          <w:rFonts w:hint="eastAsia" w:ascii="仿宋" w:hAnsi="仿宋" w:eastAsia="仿宋" w:cs="Times New Roman"/>
          <w:b/>
          <w:sz w:val="32"/>
          <w:szCs w:val="32"/>
          <w:lang w:val="en-US" w:eastAsia="zh-CN"/>
        </w:rPr>
        <w:t>3</w:t>
      </w:r>
      <w:r>
        <w:rPr>
          <w:rFonts w:hint="eastAsia" w:ascii="仿宋" w:hAnsi="仿宋" w:eastAsia="仿宋" w:cs="Times New Roman"/>
          <w:b/>
          <w:sz w:val="32"/>
          <w:szCs w:val="32"/>
        </w:rPr>
        <w:t>.加强</w:t>
      </w:r>
      <w:r>
        <w:rPr>
          <w:rFonts w:ascii="仿宋" w:hAnsi="仿宋" w:eastAsia="仿宋" w:cs="Times New Roman"/>
          <w:b/>
          <w:sz w:val="32"/>
          <w:szCs w:val="32"/>
        </w:rPr>
        <w:t>校园文化建设和精神文明建设</w:t>
      </w:r>
      <w:r>
        <w:rPr>
          <w:rFonts w:hint="eastAsia" w:ascii="仿宋" w:hAnsi="仿宋" w:eastAsia="仿宋" w:cs="Times New Roman"/>
          <w:b/>
          <w:sz w:val="32"/>
          <w:szCs w:val="32"/>
        </w:rPr>
        <w:t>，强化</w:t>
      </w:r>
      <w:r>
        <w:rPr>
          <w:rFonts w:ascii="仿宋" w:hAnsi="仿宋" w:eastAsia="仿宋" w:cs="Times New Roman"/>
          <w:b/>
          <w:sz w:val="32"/>
          <w:szCs w:val="32"/>
        </w:rPr>
        <w:t>思想政治工作</w:t>
      </w:r>
    </w:p>
    <w:p>
      <w:pPr>
        <w:pStyle w:val="12"/>
        <w:spacing w:line="360" w:lineRule="auto"/>
        <w:ind w:firstLine="640" w:firstLineChars="200"/>
        <w:rPr>
          <w:rFonts w:ascii="仿宋" w:hAnsi="仿宋" w:eastAsia="仿宋" w:cs="Times New Roman"/>
          <w:sz w:val="32"/>
          <w:szCs w:val="32"/>
        </w:rPr>
      </w:pPr>
      <w:r>
        <w:rPr>
          <w:rFonts w:ascii="仿宋" w:hAnsi="仿宋" w:eastAsia="仿宋" w:cs="Times New Roman"/>
          <w:sz w:val="32"/>
          <w:szCs w:val="32"/>
        </w:rPr>
        <w:t>学校加</w:t>
      </w:r>
      <w:r>
        <w:rPr>
          <w:rFonts w:hint="eastAsia" w:ascii="仿宋" w:hAnsi="仿宋" w:eastAsia="仿宋" w:cs="Times New Roman"/>
          <w:sz w:val="32"/>
          <w:szCs w:val="32"/>
        </w:rPr>
        <w:t>大思想</w:t>
      </w:r>
      <w:r>
        <w:rPr>
          <w:rFonts w:ascii="仿宋" w:hAnsi="仿宋" w:eastAsia="仿宋" w:cs="Times New Roman"/>
          <w:sz w:val="32"/>
          <w:szCs w:val="32"/>
        </w:rPr>
        <w:t>宣传</w:t>
      </w:r>
      <w:r>
        <w:rPr>
          <w:rFonts w:hint="eastAsia" w:ascii="仿宋" w:hAnsi="仿宋" w:eastAsia="仿宋" w:cs="Times New Roman"/>
          <w:sz w:val="32"/>
          <w:szCs w:val="32"/>
        </w:rPr>
        <w:t>力度</w:t>
      </w:r>
      <w:r>
        <w:rPr>
          <w:rFonts w:ascii="仿宋" w:hAnsi="仿宋" w:eastAsia="仿宋" w:cs="Times New Roman"/>
          <w:sz w:val="32"/>
          <w:szCs w:val="32"/>
        </w:rPr>
        <w:t>，</w:t>
      </w:r>
      <w:r>
        <w:rPr>
          <w:rFonts w:hint="eastAsia" w:ascii="仿宋" w:hAnsi="仿宋" w:eastAsia="仿宋" w:cs="Times New Roman"/>
          <w:sz w:val="32"/>
          <w:szCs w:val="32"/>
        </w:rPr>
        <w:t>面向全校学生开设心理健康教育课；</w:t>
      </w:r>
      <w:r>
        <w:rPr>
          <w:rFonts w:ascii="仿宋" w:hAnsi="仿宋" w:eastAsia="仿宋" w:cs="Times New Roman"/>
          <w:sz w:val="32"/>
          <w:szCs w:val="32"/>
        </w:rPr>
        <w:t>注重</w:t>
      </w:r>
      <w:r>
        <w:rPr>
          <w:rFonts w:hint="eastAsia" w:ascii="仿宋" w:hAnsi="仿宋" w:eastAsia="仿宋" w:cs="Times New Roman"/>
          <w:sz w:val="32"/>
          <w:szCs w:val="32"/>
        </w:rPr>
        <w:t>师资培养</w:t>
      </w:r>
      <w:r>
        <w:rPr>
          <w:rFonts w:ascii="仿宋" w:hAnsi="仿宋" w:eastAsia="仿宋" w:cs="Times New Roman"/>
          <w:sz w:val="32"/>
          <w:szCs w:val="32"/>
        </w:rPr>
        <w:t>，</w:t>
      </w:r>
      <w:r>
        <w:rPr>
          <w:rFonts w:hint="eastAsia" w:ascii="仿宋" w:hAnsi="仿宋" w:eastAsia="仿宋" w:cs="Times New Roman"/>
          <w:sz w:val="32"/>
          <w:szCs w:val="32"/>
        </w:rPr>
        <w:t>培养专业的心理咨询师，加强思想政治队伍建设；安排全体学生以团体的形式，按照时间节点进行心理健康辅导；</w:t>
      </w:r>
      <w:r>
        <w:rPr>
          <w:rFonts w:ascii="仿宋" w:hAnsi="仿宋" w:eastAsia="仿宋" w:cs="Times New Roman"/>
          <w:sz w:val="32"/>
          <w:szCs w:val="32"/>
        </w:rPr>
        <w:t>帮助大学生不断提高政治理论素质和思想道德素质</w:t>
      </w:r>
      <w:r>
        <w:rPr>
          <w:rFonts w:hint="eastAsia" w:ascii="仿宋" w:hAnsi="仿宋" w:eastAsia="仿宋" w:cs="Times New Roman"/>
          <w:sz w:val="32"/>
          <w:szCs w:val="32"/>
        </w:rPr>
        <w:t>；建成学校、系部、班级、宿舍四级心里健康教育体系；提高辅导员队伍的专业化水平、工作质量、职业认同感。</w:t>
      </w:r>
    </w:p>
    <w:p>
      <w:pPr>
        <w:pStyle w:val="12"/>
        <w:spacing w:line="360" w:lineRule="auto"/>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按照教育部和陕西省教育厅关于普通高等学校学生心里健康教育工作基本建设标准，努力加强和改进大学生心里健康教育和咨询工作，全力创建平安校园。按照《陕西省文明校园测评体系》的要求</w:t>
      </w:r>
      <w:r>
        <w:rPr>
          <w:rFonts w:ascii="仿宋" w:hAnsi="仿宋" w:eastAsia="仿宋" w:cs="Times New Roman"/>
          <w:sz w:val="32"/>
          <w:szCs w:val="32"/>
        </w:rPr>
        <w:t>，明确职责，分解任务，</w:t>
      </w:r>
      <w:r>
        <w:rPr>
          <w:rFonts w:hint="eastAsia" w:ascii="仿宋" w:hAnsi="仿宋" w:eastAsia="仿宋" w:cs="Times New Roman"/>
          <w:sz w:val="32"/>
          <w:szCs w:val="32"/>
        </w:rPr>
        <w:t>广泛深入开展</w:t>
      </w:r>
      <w:r>
        <w:rPr>
          <w:rFonts w:ascii="仿宋" w:hAnsi="仿宋" w:eastAsia="仿宋" w:cs="Times New Roman"/>
          <w:sz w:val="32"/>
          <w:szCs w:val="32"/>
        </w:rPr>
        <w:t>精神文明系列创建活动</w:t>
      </w:r>
      <w:r>
        <w:rPr>
          <w:rFonts w:hint="eastAsia" w:ascii="仿宋" w:hAnsi="仿宋" w:eastAsia="仿宋" w:cs="Times New Roman"/>
          <w:sz w:val="32"/>
          <w:szCs w:val="32"/>
        </w:rPr>
        <w:t>，巩固文明校园建设成果。</w:t>
      </w:r>
    </w:p>
    <w:p>
      <w:pPr>
        <w:pStyle w:val="12"/>
        <w:spacing w:line="360" w:lineRule="auto"/>
        <w:ind w:firstLine="643" w:firstLineChars="200"/>
        <w:rPr>
          <w:rFonts w:hint="eastAsia" w:ascii="仿宋" w:hAnsi="仿宋" w:eastAsia="仿宋" w:cs="Times New Roman"/>
          <w:b/>
          <w:sz w:val="32"/>
          <w:szCs w:val="32"/>
        </w:rPr>
      </w:pPr>
      <w:r>
        <w:rPr>
          <w:rFonts w:hint="eastAsia" w:ascii="仿宋" w:hAnsi="仿宋" w:eastAsia="仿宋" w:cs="Times New Roman"/>
          <w:b/>
          <w:sz w:val="32"/>
          <w:szCs w:val="32"/>
          <w:lang w:val="en-US" w:eastAsia="zh-CN"/>
        </w:rPr>
        <w:t>4.</w:t>
      </w:r>
      <w:r>
        <w:rPr>
          <w:rFonts w:hint="eastAsia" w:ascii="仿宋" w:hAnsi="仿宋" w:eastAsia="仿宋" w:cs="Times New Roman"/>
          <w:b/>
          <w:sz w:val="32"/>
          <w:szCs w:val="32"/>
        </w:rPr>
        <w:t>加强文化素质教育</w:t>
      </w:r>
      <w:r>
        <w:rPr>
          <w:rFonts w:hint="eastAsia" w:ascii="仿宋" w:hAnsi="仿宋" w:eastAsia="仿宋" w:cs="Times New Roman"/>
          <w:b/>
          <w:sz w:val="32"/>
          <w:szCs w:val="32"/>
          <w:lang w:eastAsia="zh-CN"/>
        </w:rPr>
        <w:t>和</w:t>
      </w:r>
      <w:r>
        <w:rPr>
          <w:rFonts w:hint="eastAsia" w:ascii="仿宋" w:hAnsi="仿宋" w:eastAsia="仿宋" w:cs="Times New Roman"/>
          <w:b/>
          <w:sz w:val="32"/>
          <w:szCs w:val="32"/>
        </w:rPr>
        <w:t>校园文化建设</w:t>
      </w:r>
      <w:r>
        <w:rPr>
          <w:rFonts w:hint="eastAsia" w:ascii="仿宋" w:hAnsi="仿宋" w:eastAsia="仿宋" w:cs="Times New Roman"/>
          <w:b/>
          <w:sz w:val="32"/>
          <w:szCs w:val="32"/>
          <w:lang w:eastAsia="zh-CN"/>
        </w:rPr>
        <w:t>，</w:t>
      </w:r>
      <w:r>
        <w:rPr>
          <w:rFonts w:hint="eastAsia" w:ascii="仿宋" w:hAnsi="仿宋" w:eastAsia="仿宋" w:cs="Times New Roman"/>
          <w:b/>
          <w:sz w:val="32"/>
          <w:szCs w:val="32"/>
        </w:rPr>
        <w:t>支持学生社团活动</w:t>
      </w:r>
    </w:p>
    <w:p>
      <w:pPr>
        <w:pStyle w:val="12"/>
        <w:spacing w:line="360" w:lineRule="auto"/>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eastAsia="zh-CN"/>
        </w:rPr>
        <w:t>学校</w:t>
      </w:r>
      <w:r>
        <w:rPr>
          <w:rFonts w:hint="eastAsia" w:ascii="仿宋" w:hAnsi="仿宋" w:eastAsia="仿宋" w:cs="Times New Roman"/>
          <w:sz w:val="32"/>
          <w:szCs w:val="32"/>
        </w:rPr>
        <w:t>以建设省级文明单位标兵为载体，开展文明班级、文明宿舍创建活动，开展争做“最美教师”、“美德少年”活动，深入开展“厚德陕西”道德实践活动；突出数学建模社团优势，力争在全国数学建模竞赛中取得佳绩。以立德树人为根本，以工匠精神为指引，制定完成德育工作计划；研究将文化素质教育纳入人才培养方案，试点开设1至2门课程，举办青春大讲堂2期；制定完成校园文化建设规划；探索搭建“第二课堂成绩单”；制定学生社团管理办法，配备社团指导老师，政策支持，经费到位。</w:t>
      </w:r>
      <w:r>
        <w:rPr>
          <w:rFonts w:hint="eastAsia" w:ascii="仿宋" w:hAnsi="仿宋" w:eastAsia="仿宋" w:cs="Times New Roman"/>
          <w:sz w:val="32"/>
          <w:szCs w:val="32"/>
          <w:lang w:eastAsia="zh-CN"/>
        </w:rPr>
        <w:t>学校</w:t>
      </w:r>
      <w:r>
        <w:rPr>
          <w:rFonts w:hint="eastAsia" w:ascii="仿宋" w:hAnsi="仿宋" w:eastAsia="仿宋" w:cs="Times New Roman"/>
          <w:sz w:val="32"/>
          <w:szCs w:val="32"/>
        </w:rPr>
        <w:t>丰富德育实践载体，强化文化素质教育；搭建完成“第二课堂成绩单”；文化素质教育正式纳入人才培养方案，开设3至4门课程，举办青春大讲堂4期；形成独具特色的校园文化，具有统一的VI标识，形成优秀校园文化建设成果；社团类型多样，学生参与率较2017年增长20%，活动丰富多彩，打造社团活动品牌。</w:t>
      </w:r>
    </w:p>
    <w:p>
      <w:pPr>
        <w:pStyle w:val="12"/>
        <w:spacing w:line="360" w:lineRule="auto"/>
        <w:ind w:firstLine="643" w:firstLineChars="200"/>
        <w:rPr>
          <w:rFonts w:ascii="仿宋" w:hAnsi="仿宋" w:eastAsia="仿宋" w:cs="Times New Roman"/>
          <w:b/>
          <w:sz w:val="32"/>
          <w:szCs w:val="32"/>
        </w:rPr>
      </w:pPr>
      <w:r>
        <w:rPr>
          <w:rFonts w:hint="eastAsia" w:ascii="仿宋" w:hAnsi="仿宋" w:eastAsia="仿宋" w:cs="Times New Roman"/>
          <w:b/>
          <w:sz w:val="32"/>
          <w:szCs w:val="32"/>
          <w:lang w:val="en-US" w:eastAsia="zh-CN"/>
        </w:rPr>
        <w:t>5</w:t>
      </w:r>
      <w:r>
        <w:rPr>
          <w:rFonts w:hint="eastAsia" w:ascii="仿宋" w:hAnsi="仿宋" w:eastAsia="仿宋" w:cs="Times New Roman"/>
          <w:b/>
          <w:sz w:val="32"/>
          <w:szCs w:val="32"/>
        </w:rPr>
        <w:t>.拓宽思政教育领域，营造良好的育人环境</w:t>
      </w:r>
    </w:p>
    <w:p>
      <w:pPr>
        <w:pStyle w:val="12"/>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组建思想政治教育专业团队，负责学生思想政治教育和素质拓展工作。成员以思政部教师为主，同时吸纳团委、学工部和各系部学生管理工作者,将思想政治教育渗透在学生的入学教育、法规校纪学习、社团活动、日常管理、实习实训、就业指导、毕业前教育等各个环节；定期对我校的辅导员、班主任及从事学生工作的相关人员提供思想政治理论及工作方法培训，提高团队整体工作水平。</w:t>
      </w:r>
    </w:p>
    <w:p>
      <w:pPr>
        <w:pStyle w:val="12"/>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充分利用现代化网络开展思想政治教育工作，积极探索网络背景下教育工作的新方法、新手段，借助网络拓展教育的时空。开办思政教育相关栏目为学生提供理论学习、交流心得、发表信息的平台；完善应用好已建立的课程网站。定期针对性开展教师培训，转变思想，提高网络应用技能；对网站上传的学习资源按照有深度、有广度、有实效的方针精心筛选；增强互动交流板块的利用，洞悉学生思想状况，给予人文关怀。</w:t>
      </w:r>
    </w:p>
    <w:p>
      <w:pPr>
        <w:pStyle w:val="12"/>
        <w:spacing w:line="360" w:lineRule="auto"/>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以老带新，全面提高教师队伍业务素质。按照学校制定的“师带徒”制度，为年轻教师指定培养“师傅”，拟定祥细的培养计划，注重师德建设，从日常的教师行为到教学环节的过程全方位指导，以坚定政治信念，改善知识结构，增强整体素质为目的，努力形成有利于教师队伍良性发展的长效机制。组织每位教师每年参加至少一次教师进修、哲学社会科学培训及备课会、社会考察。能够申报完成省级人文社会科学专项教研课题1项或参加思政优秀论文评奖1项。</w:t>
      </w:r>
    </w:p>
    <w:p>
      <w:pPr>
        <w:pStyle w:val="12"/>
        <w:spacing w:line="360" w:lineRule="auto"/>
        <w:ind w:firstLine="643" w:firstLineChars="200"/>
        <w:rPr>
          <w:rFonts w:hint="eastAsia" w:ascii="仿宋" w:hAnsi="仿宋" w:eastAsia="仿宋" w:cs="Times New Roman"/>
          <w:b/>
          <w:sz w:val="32"/>
          <w:szCs w:val="32"/>
        </w:rPr>
      </w:pPr>
      <w:r>
        <w:rPr>
          <w:rFonts w:hint="eastAsia" w:ascii="仿宋" w:hAnsi="仿宋" w:eastAsia="仿宋" w:cs="Times New Roman"/>
          <w:b/>
          <w:sz w:val="32"/>
          <w:szCs w:val="32"/>
          <w:lang w:val="en-US" w:eastAsia="zh-CN"/>
        </w:rPr>
        <w:t>6.</w:t>
      </w:r>
      <w:r>
        <w:rPr>
          <w:rFonts w:hint="eastAsia" w:ascii="仿宋" w:hAnsi="仿宋" w:eastAsia="仿宋" w:cs="Times New Roman"/>
          <w:b/>
          <w:sz w:val="32"/>
          <w:szCs w:val="32"/>
        </w:rPr>
        <w:t>促进职业技能培养与职业精神养成相融合</w:t>
      </w:r>
    </w:p>
    <w:p>
      <w:pPr>
        <w:pStyle w:val="12"/>
        <w:spacing w:line="360" w:lineRule="auto"/>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eastAsia="zh-CN"/>
        </w:rPr>
        <w:t>学校</w:t>
      </w:r>
      <w:r>
        <w:rPr>
          <w:rFonts w:hint="eastAsia" w:ascii="仿宋" w:hAnsi="仿宋" w:eastAsia="仿宋" w:cs="Times New Roman"/>
          <w:sz w:val="32"/>
          <w:szCs w:val="32"/>
        </w:rPr>
        <w:t>通过企业调研，毕业生调研等方法，搜集现场资料，突出职业性、开放性、实践性特点，将职业标准和规范融入人才培养全过程，修订人才培养方案。通过举办校级技能大赛，为省级竞赛选拔竞赛选手。制定竞赛管理办法，激励更多学生参加技能竞赛。按照职业性、生产性、先进性原则建设实训基地，完成实训基地环境营造，贴近企业工作实际。设计基于企业工作实际的实训项目并且实施教学。制定校企文化融合相关制度，组织优秀毕业生、劳模、企业技术能手讲座，促进企业文化进校园、进课堂。</w:t>
      </w:r>
    </w:p>
    <w:p>
      <w:pPr>
        <w:spacing w:line="360" w:lineRule="auto"/>
        <w:ind w:firstLine="643" w:firstLineChars="200"/>
        <w:jc w:val="left"/>
        <w:rPr>
          <w:rFonts w:ascii="仿宋" w:hAnsi="仿宋" w:eastAsia="仿宋" w:cs="宋体"/>
          <w:b/>
          <w:kern w:val="36"/>
          <w:sz w:val="32"/>
          <w:szCs w:val="32"/>
        </w:rPr>
      </w:pPr>
      <w:r>
        <w:rPr>
          <w:rFonts w:hint="eastAsia" w:ascii="仿宋" w:hAnsi="仿宋" w:eastAsia="仿宋" w:cs="宋体"/>
          <w:b/>
          <w:kern w:val="36"/>
          <w:sz w:val="32"/>
          <w:szCs w:val="32"/>
        </w:rPr>
        <w:t>五、</w:t>
      </w:r>
      <w:r>
        <w:rPr>
          <w:rFonts w:ascii="仿宋" w:hAnsi="仿宋" w:eastAsia="仿宋" w:cs="宋体"/>
          <w:b/>
          <w:kern w:val="36"/>
          <w:sz w:val="32"/>
          <w:szCs w:val="32"/>
        </w:rPr>
        <w:t>预期效果</w:t>
      </w:r>
    </w:p>
    <w:p>
      <w:pPr>
        <w:spacing w:line="360" w:lineRule="auto"/>
        <w:ind w:firstLine="643" w:firstLineChars="200"/>
        <w:jc w:val="left"/>
        <w:rPr>
          <w:rFonts w:ascii="仿宋" w:hAnsi="仿宋" w:eastAsia="仿宋" w:cs="宋体"/>
          <w:b/>
          <w:kern w:val="36"/>
          <w:sz w:val="32"/>
          <w:szCs w:val="32"/>
        </w:rPr>
      </w:pPr>
      <w:r>
        <w:rPr>
          <w:rFonts w:hint="eastAsia" w:ascii="仿宋" w:hAnsi="仿宋" w:eastAsia="仿宋" w:cs="宋体"/>
          <w:b/>
          <w:kern w:val="36"/>
          <w:sz w:val="32"/>
          <w:szCs w:val="32"/>
        </w:rPr>
        <w:t>1</w:t>
      </w:r>
      <w:r>
        <w:rPr>
          <w:rFonts w:ascii="仿宋" w:hAnsi="仿宋" w:eastAsia="仿宋" w:cs="宋体"/>
          <w:b/>
          <w:kern w:val="36"/>
          <w:sz w:val="32"/>
          <w:szCs w:val="32"/>
        </w:rPr>
        <w:t>.</w:t>
      </w:r>
      <w:r>
        <w:rPr>
          <w:rFonts w:hint="eastAsia" w:ascii="仿宋" w:hAnsi="仿宋" w:eastAsia="仿宋" w:cs="宋体"/>
          <w:b/>
          <w:kern w:val="36"/>
          <w:sz w:val="32"/>
          <w:szCs w:val="32"/>
        </w:rPr>
        <w:t>特色专业水平提高</w:t>
      </w:r>
    </w:p>
    <w:p>
      <w:pPr>
        <w:pStyle w:val="12"/>
        <w:spacing w:line="360" w:lineRule="auto"/>
        <w:ind w:firstLine="640" w:firstLineChars="200"/>
        <w:rPr>
          <w:rFonts w:ascii="仿宋" w:hAnsi="仿宋" w:eastAsia="仿宋"/>
          <w:sz w:val="32"/>
          <w:szCs w:val="32"/>
        </w:rPr>
      </w:pPr>
      <w:r>
        <w:rPr>
          <w:rFonts w:hint="eastAsia" w:ascii="仿宋" w:hAnsi="仿宋" w:eastAsia="仿宋"/>
          <w:sz w:val="32"/>
          <w:szCs w:val="32"/>
        </w:rPr>
        <w:t>学校7个特色专业建设以专业综合改革为指导，凸显高等职业教育的特色，实现在人才培养</w:t>
      </w:r>
      <w:r>
        <w:rPr>
          <w:rFonts w:ascii="仿宋" w:hAnsi="仿宋" w:eastAsia="仿宋"/>
          <w:sz w:val="32"/>
          <w:szCs w:val="32"/>
        </w:rPr>
        <w:t>目标、师资队伍、课程体系、教学条件和培养质量等方面具有较高的办学水平和鲜明的办学特色</w:t>
      </w:r>
      <w:r>
        <w:rPr>
          <w:rFonts w:hint="eastAsia" w:ascii="仿宋" w:hAnsi="仿宋" w:eastAsia="仿宋"/>
          <w:sz w:val="32"/>
          <w:szCs w:val="32"/>
        </w:rPr>
        <w:t>。通过</w:t>
      </w:r>
      <w:r>
        <w:rPr>
          <w:rFonts w:hint="eastAsia" w:ascii="仿宋" w:hAnsi="仿宋" w:eastAsia="仿宋" w:cs="Times New Roman"/>
          <w:sz w:val="32"/>
          <w:szCs w:val="32"/>
        </w:rPr>
        <w:t>专业建设，凝练专业方向、改善实训条件、深化教学改革，整体提升专业发展水平，提高专业的技术协同创新能力，促进区域产业结构调整和新兴产业发展。</w:t>
      </w:r>
    </w:p>
    <w:p>
      <w:pPr>
        <w:spacing w:line="360" w:lineRule="auto"/>
        <w:ind w:firstLine="643" w:firstLineChars="200"/>
        <w:jc w:val="left"/>
        <w:rPr>
          <w:rFonts w:ascii="仿宋" w:hAnsi="仿宋" w:eastAsia="仿宋" w:cs="宋体"/>
          <w:b/>
          <w:kern w:val="36"/>
          <w:sz w:val="32"/>
          <w:szCs w:val="32"/>
        </w:rPr>
      </w:pPr>
      <w:r>
        <w:rPr>
          <w:rFonts w:hint="eastAsia" w:ascii="仿宋" w:hAnsi="仿宋" w:eastAsia="仿宋" w:cs="宋体"/>
          <w:b/>
          <w:kern w:val="36"/>
          <w:sz w:val="32"/>
          <w:szCs w:val="32"/>
        </w:rPr>
        <w:t>2.基地建设体现高水平</w:t>
      </w:r>
    </w:p>
    <w:p>
      <w:pPr>
        <w:pStyle w:val="12"/>
        <w:spacing w:line="360" w:lineRule="auto"/>
        <w:ind w:firstLine="640" w:firstLineChars="200"/>
        <w:rPr>
          <w:rFonts w:ascii="仿宋" w:hAnsi="仿宋" w:eastAsia="仿宋" w:cs="Times New Roman"/>
          <w:sz w:val="32"/>
          <w:szCs w:val="32"/>
        </w:rPr>
      </w:pPr>
      <w:r>
        <w:rPr>
          <w:rFonts w:hint="eastAsia" w:ascii="仿宋" w:hAnsi="仿宋" w:eastAsia="仿宋"/>
          <w:sz w:val="32"/>
          <w:szCs w:val="32"/>
        </w:rPr>
        <w:t>建设的输配电实训基地、热力设备及辅助系统实训基地等8个校企共建的生产性实训基地和火电厂虚拟仿真实训中心、变电仿真实训基地等3个职业能力培养虚拟仿真实训中心，</w:t>
      </w:r>
      <w:r>
        <w:rPr>
          <w:rFonts w:hint="eastAsia" w:ascii="仿宋" w:hAnsi="仿宋" w:eastAsia="仿宋" w:cs="Times New Roman"/>
          <w:sz w:val="32"/>
          <w:szCs w:val="32"/>
        </w:rPr>
        <w:t>将</w:t>
      </w:r>
      <w:r>
        <w:rPr>
          <w:rFonts w:hint="eastAsia" w:ascii="仿宋" w:hAnsi="仿宋" w:eastAsia="仿宋"/>
          <w:sz w:val="32"/>
          <w:szCs w:val="32"/>
        </w:rPr>
        <w:t>学校</w:t>
      </w:r>
      <w:r>
        <w:rPr>
          <w:rFonts w:hint="eastAsia" w:ascii="仿宋" w:hAnsi="仿宋" w:eastAsia="仿宋" w:cs="Times New Roman"/>
          <w:sz w:val="32"/>
          <w:szCs w:val="32"/>
        </w:rPr>
        <w:t>实训基地建设成为布局合理、设施齐全、特色鲜明、功能全面、技术先进、管理规范、标准健全的全国同行业一流高技能人才</w:t>
      </w:r>
      <w:r>
        <w:rPr>
          <w:rFonts w:hint="eastAsia" w:ascii="仿宋" w:hAnsi="仿宋" w:eastAsia="仿宋"/>
          <w:sz w:val="32"/>
          <w:szCs w:val="32"/>
        </w:rPr>
        <w:t>培养</w:t>
      </w:r>
      <w:r>
        <w:rPr>
          <w:rFonts w:hint="eastAsia" w:ascii="仿宋" w:hAnsi="仿宋" w:eastAsia="仿宋" w:cs="Times New Roman"/>
          <w:sz w:val="32"/>
          <w:szCs w:val="32"/>
        </w:rPr>
        <w:t>基地。</w:t>
      </w:r>
    </w:p>
    <w:p>
      <w:pPr>
        <w:pStyle w:val="12"/>
        <w:spacing w:line="360" w:lineRule="auto"/>
        <w:ind w:firstLine="643" w:firstLineChars="200"/>
        <w:rPr>
          <w:rFonts w:ascii="仿宋" w:hAnsi="仿宋" w:eastAsia="仿宋"/>
          <w:b/>
          <w:sz w:val="32"/>
          <w:szCs w:val="32"/>
        </w:rPr>
      </w:pPr>
      <w:r>
        <w:rPr>
          <w:rFonts w:hint="eastAsia" w:ascii="仿宋" w:hAnsi="仿宋" w:eastAsia="仿宋" w:cs="Times New Roman"/>
          <w:b/>
          <w:sz w:val="32"/>
          <w:szCs w:val="32"/>
        </w:rPr>
        <w:t>3.合作办学得到新提升</w:t>
      </w:r>
    </w:p>
    <w:p>
      <w:pPr>
        <w:pStyle w:val="12"/>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学习和引进澳大利亚</w:t>
      </w:r>
      <w:r>
        <w:rPr>
          <w:rFonts w:ascii="仿宋" w:hAnsi="仿宋" w:eastAsia="仿宋" w:cs="Times New Roman"/>
          <w:sz w:val="32"/>
          <w:szCs w:val="32"/>
        </w:rPr>
        <w:t>TAFE</w:t>
      </w:r>
      <w:r>
        <w:rPr>
          <w:rFonts w:hint="eastAsia" w:ascii="仿宋" w:hAnsi="仿宋" w:eastAsia="仿宋" w:cs="Times New Roman"/>
          <w:sz w:val="32"/>
          <w:szCs w:val="32"/>
        </w:rPr>
        <w:t>学院先进成熟适用的职业标准、专业课程、教材体系和数字化教育资源，联合开发课程，共建专业、实验室和实训基地，建立教师交流、学生交换、学分互认等合作关系，举办高水平中澳合作办学项目。</w:t>
      </w:r>
    </w:p>
    <w:p>
      <w:pPr>
        <w:pStyle w:val="12"/>
        <w:spacing w:line="360" w:lineRule="auto"/>
        <w:ind w:firstLine="643" w:firstLineChars="200"/>
        <w:rPr>
          <w:rFonts w:ascii="仿宋" w:hAnsi="仿宋" w:eastAsia="仿宋" w:cs="Times New Roman"/>
          <w:b/>
          <w:sz w:val="32"/>
          <w:szCs w:val="32"/>
        </w:rPr>
      </w:pPr>
      <w:r>
        <w:rPr>
          <w:rFonts w:hint="eastAsia" w:ascii="仿宋" w:hAnsi="仿宋" w:eastAsia="仿宋" w:cs="Times New Roman"/>
          <w:b/>
          <w:sz w:val="32"/>
          <w:szCs w:val="32"/>
        </w:rPr>
        <w:t>4.师资队伍全面提升</w:t>
      </w:r>
    </w:p>
    <w:p>
      <w:pPr>
        <w:pStyle w:val="12"/>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建设一支</w:t>
      </w:r>
      <w:r>
        <w:rPr>
          <w:rFonts w:ascii="仿宋" w:hAnsi="仿宋" w:eastAsia="仿宋" w:cs="Times New Roman"/>
          <w:sz w:val="32"/>
          <w:szCs w:val="32"/>
        </w:rPr>
        <w:t>师德高尚、</w:t>
      </w:r>
      <w:r>
        <w:rPr>
          <w:rFonts w:hint="eastAsia" w:ascii="仿宋" w:hAnsi="仿宋" w:eastAsia="仿宋" w:cs="Times New Roman"/>
          <w:sz w:val="32"/>
          <w:szCs w:val="32"/>
        </w:rPr>
        <w:t>业务精湛</w:t>
      </w:r>
      <w:r>
        <w:rPr>
          <w:rFonts w:ascii="仿宋" w:hAnsi="仿宋" w:eastAsia="仿宋" w:cs="Times New Roman"/>
          <w:sz w:val="32"/>
          <w:szCs w:val="32"/>
        </w:rPr>
        <w:t>、结构合理、</w:t>
      </w:r>
      <w:r>
        <w:rPr>
          <w:rFonts w:hint="eastAsia" w:ascii="仿宋" w:hAnsi="仿宋" w:eastAsia="仿宋" w:cs="Times New Roman"/>
          <w:sz w:val="32"/>
          <w:szCs w:val="32"/>
        </w:rPr>
        <w:t>实践能力强</w:t>
      </w:r>
      <w:r>
        <w:rPr>
          <w:rFonts w:ascii="仿宋" w:hAnsi="仿宋" w:eastAsia="仿宋" w:cs="Times New Roman"/>
          <w:sz w:val="32"/>
          <w:szCs w:val="32"/>
        </w:rPr>
        <w:t>的</w:t>
      </w:r>
      <w:r>
        <w:rPr>
          <w:rFonts w:hint="eastAsia" w:ascii="仿宋" w:hAnsi="仿宋" w:eastAsia="仿宋" w:cs="Times New Roman"/>
          <w:sz w:val="32"/>
          <w:szCs w:val="32"/>
        </w:rPr>
        <w:t>师资</w:t>
      </w:r>
      <w:r>
        <w:rPr>
          <w:rFonts w:ascii="仿宋" w:hAnsi="仿宋" w:eastAsia="仿宋" w:cs="Times New Roman"/>
          <w:sz w:val="32"/>
          <w:szCs w:val="32"/>
        </w:rPr>
        <w:t>队伍</w:t>
      </w:r>
      <w:r>
        <w:rPr>
          <w:rFonts w:hint="eastAsia" w:ascii="仿宋" w:hAnsi="仿宋" w:eastAsia="仿宋" w:cs="Times New Roman"/>
          <w:sz w:val="32"/>
          <w:szCs w:val="32"/>
        </w:rPr>
        <w:t>。教师培养及激励制度健全，完善现有5项制度，新建4项制度。培养2名省级教学名师，使省级教学名师达到6个，培养20名专业带头人和40名骨干教师；专业教师每5年企业实践不少于6个月，“双师型”教师达到60%以上。地市公司级以上专家人才达到20人，力争国网公司级专业领军人才零的突破。建成2个名师工作室。每年10名义上住校兼职师，工作时间不低于一年。</w:t>
      </w:r>
    </w:p>
    <w:p>
      <w:pPr>
        <w:spacing w:line="360" w:lineRule="auto"/>
        <w:ind w:firstLine="643" w:firstLineChars="200"/>
        <w:jc w:val="left"/>
        <w:rPr>
          <w:rFonts w:ascii="仿宋" w:hAnsi="仿宋" w:eastAsia="仿宋" w:cs="宋体"/>
          <w:b/>
          <w:kern w:val="36"/>
          <w:sz w:val="32"/>
          <w:szCs w:val="32"/>
        </w:rPr>
      </w:pPr>
      <w:r>
        <w:rPr>
          <w:rFonts w:hint="eastAsia" w:ascii="仿宋" w:hAnsi="仿宋" w:eastAsia="仿宋" w:cs="宋体"/>
          <w:b/>
          <w:kern w:val="36"/>
          <w:sz w:val="32"/>
          <w:szCs w:val="32"/>
        </w:rPr>
        <w:t>5</w:t>
      </w:r>
      <w:r>
        <w:rPr>
          <w:rFonts w:ascii="仿宋" w:hAnsi="仿宋" w:eastAsia="仿宋" w:cs="宋体"/>
          <w:b/>
          <w:kern w:val="36"/>
          <w:sz w:val="32"/>
          <w:szCs w:val="32"/>
        </w:rPr>
        <w:t>.</w:t>
      </w:r>
      <w:r>
        <w:rPr>
          <w:rFonts w:hint="eastAsia" w:ascii="仿宋" w:hAnsi="仿宋" w:eastAsia="仿宋" w:cs="宋体"/>
          <w:b/>
          <w:kern w:val="36"/>
          <w:sz w:val="32"/>
          <w:szCs w:val="32"/>
        </w:rPr>
        <w:t>信息技术应用显著提升</w:t>
      </w:r>
    </w:p>
    <w:p>
      <w:pPr>
        <w:pStyle w:val="12"/>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到2018年底，构建规范、安全、可靠的网络与信息化环境，全面实现系统的互联互通、信息的交换共享、大数据的分析应用，建成高效便捷的电子校务，为师生提供一站式信息化服务，为管理人员提供高效的信息化手段，为领导提供准确全面的决策支持，将西安电力高等专科学校全面建成数字校园，初步建成智慧校园，进一步实现与全省各高校建立学校公共基础数据库和数据交换平台的数据应用对接。</w:t>
      </w:r>
    </w:p>
    <w:p>
      <w:pPr>
        <w:pStyle w:val="12"/>
        <w:spacing w:line="360" w:lineRule="auto"/>
        <w:ind w:firstLine="643" w:firstLineChars="200"/>
        <w:rPr>
          <w:rFonts w:ascii="仿宋" w:hAnsi="仿宋" w:eastAsia="仿宋" w:cs="Times New Roman"/>
          <w:b/>
          <w:sz w:val="32"/>
          <w:szCs w:val="32"/>
        </w:rPr>
      </w:pPr>
      <w:r>
        <w:rPr>
          <w:rFonts w:hint="eastAsia" w:ascii="仿宋" w:hAnsi="仿宋" w:eastAsia="仿宋" w:cs="Times New Roman"/>
          <w:b/>
          <w:sz w:val="32"/>
          <w:szCs w:val="32"/>
        </w:rPr>
        <w:t>6.分类</w:t>
      </w:r>
      <w:r>
        <w:rPr>
          <w:rFonts w:ascii="仿宋" w:hAnsi="仿宋" w:eastAsia="仿宋" w:cs="Times New Roman"/>
          <w:b/>
          <w:sz w:val="32"/>
          <w:szCs w:val="32"/>
        </w:rPr>
        <w:t>考试招生</w:t>
      </w:r>
      <w:r>
        <w:rPr>
          <w:rFonts w:hint="eastAsia" w:ascii="仿宋" w:hAnsi="仿宋" w:eastAsia="仿宋" w:cs="Times New Roman"/>
          <w:b/>
          <w:sz w:val="32"/>
          <w:szCs w:val="32"/>
        </w:rPr>
        <w:t>工作得到</w:t>
      </w:r>
      <w:r>
        <w:rPr>
          <w:rFonts w:ascii="仿宋" w:hAnsi="仿宋" w:eastAsia="仿宋" w:cs="Times New Roman"/>
          <w:b/>
          <w:sz w:val="32"/>
          <w:szCs w:val="32"/>
        </w:rPr>
        <w:t>加强</w:t>
      </w:r>
    </w:p>
    <w:p>
      <w:pPr>
        <w:pStyle w:val="12"/>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在按照</w:t>
      </w:r>
      <w:r>
        <w:rPr>
          <w:rFonts w:ascii="仿宋" w:hAnsi="仿宋" w:eastAsia="仿宋" w:cs="Times New Roman"/>
          <w:sz w:val="32"/>
          <w:szCs w:val="32"/>
        </w:rPr>
        <w:t>往年</w:t>
      </w:r>
      <w:r>
        <w:rPr>
          <w:rFonts w:hint="eastAsia" w:ascii="仿宋" w:hAnsi="仿宋" w:eastAsia="仿宋" w:cs="Times New Roman"/>
          <w:sz w:val="32"/>
          <w:szCs w:val="32"/>
        </w:rPr>
        <w:t>招生考试</w:t>
      </w:r>
      <w:r>
        <w:rPr>
          <w:rFonts w:ascii="仿宋" w:hAnsi="仿宋" w:eastAsia="仿宋" w:cs="Times New Roman"/>
          <w:sz w:val="32"/>
          <w:szCs w:val="32"/>
        </w:rPr>
        <w:t>中参考</w:t>
      </w:r>
      <w:r>
        <w:rPr>
          <w:rFonts w:hint="eastAsia" w:ascii="仿宋" w:hAnsi="仿宋" w:eastAsia="仿宋" w:cs="Times New Roman"/>
          <w:sz w:val="32"/>
          <w:szCs w:val="32"/>
        </w:rPr>
        <w:t>高中学业水平测试成绩的基础上</w:t>
      </w:r>
      <w:r>
        <w:rPr>
          <w:rFonts w:ascii="仿宋" w:hAnsi="仿宋" w:eastAsia="仿宋" w:cs="Times New Roman"/>
          <w:sz w:val="32"/>
          <w:szCs w:val="32"/>
        </w:rPr>
        <w:t>，改变</w:t>
      </w:r>
      <w:r>
        <w:rPr>
          <w:rFonts w:hint="eastAsia" w:ascii="仿宋" w:hAnsi="仿宋" w:eastAsia="仿宋" w:cs="Times New Roman"/>
          <w:sz w:val="32"/>
          <w:szCs w:val="32"/>
        </w:rPr>
        <w:t>理论考试的方式</w:t>
      </w:r>
      <w:r>
        <w:rPr>
          <w:rFonts w:ascii="仿宋" w:hAnsi="仿宋" w:eastAsia="仿宋" w:cs="Times New Roman"/>
          <w:sz w:val="32"/>
          <w:szCs w:val="32"/>
        </w:rPr>
        <w:t>和类型</w:t>
      </w:r>
      <w:r>
        <w:rPr>
          <w:rFonts w:hint="eastAsia" w:ascii="仿宋" w:hAnsi="仿宋" w:eastAsia="仿宋" w:cs="Times New Roman"/>
          <w:sz w:val="32"/>
          <w:szCs w:val="32"/>
        </w:rPr>
        <w:t>，</w:t>
      </w:r>
      <w:r>
        <w:rPr>
          <w:rFonts w:ascii="仿宋" w:hAnsi="仿宋" w:eastAsia="仿宋" w:cs="Times New Roman"/>
          <w:sz w:val="32"/>
          <w:szCs w:val="32"/>
        </w:rPr>
        <w:t>建立符合我校专业特点的考试机制，自行命题，加大专业技能测试的比重，</w:t>
      </w:r>
      <w:r>
        <w:rPr>
          <w:rFonts w:hint="eastAsia" w:ascii="仿宋" w:hAnsi="仿宋" w:eastAsia="仿宋" w:cs="Times New Roman"/>
          <w:sz w:val="32"/>
          <w:szCs w:val="32"/>
        </w:rPr>
        <w:t>保证生源质量，使得</w:t>
      </w:r>
      <w:r>
        <w:rPr>
          <w:rFonts w:ascii="仿宋" w:hAnsi="仿宋" w:eastAsia="仿宋" w:cs="Times New Roman"/>
          <w:sz w:val="32"/>
          <w:szCs w:val="32"/>
        </w:rPr>
        <w:t>学生合理分流</w:t>
      </w:r>
      <w:r>
        <w:rPr>
          <w:rFonts w:hint="eastAsia" w:ascii="仿宋" w:hAnsi="仿宋" w:eastAsia="仿宋" w:cs="Times New Roman"/>
          <w:sz w:val="32"/>
          <w:szCs w:val="32"/>
        </w:rPr>
        <w:t>。建设</w:t>
      </w:r>
      <w:r>
        <w:rPr>
          <w:rFonts w:ascii="仿宋" w:hAnsi="仿宋" w:eastAsia="仿宋" w:cs="Times New Roman"/>
          <w:sz w:val="32"/>
          <w:szCs w:val="32"/>
        </w:rPr>
        <w:t>招生管理系统，完善学生各项数据，与</w:t>
      </w:r>
      <w:r>
        <w:rPr>
          <w:rFonts w:hint="eastAsia" w:ascii="仿宋" w:hAnsi="仿宋" w:eastAsia="仿宋" w:cs="Times New Roman"/>
          <w:sz w:val="32"/>
          <w:szCs w:val="32"/>
        </w:rPr>
        <w:t>省</w:t>
      </w:r>
      <w:r>
        <w:rPr>
          <w:rFonts w:ascii="仿宋" w:hAnsi="仿宋" w:eastAsia="仿宋" w:cs="Times New Roman"/>
          <w:sz w:val="32"/>
          <w:szCs w:val="32"/>
        </w:rPr>
        <w:t>招办</w:t>
      </w:r>
      <w:r>
        <w:rPr>
          <w:rFonts w:hint="eastAsia" w:ascii="仿宋" w:hAnsi="仿宋" w:eastAsia="仿宋" w:cs="Times New Roman"/>
          <w:sz w:val="32"/>
          <w:szCs w:val="32"/>
        </w:rPr>
        <w:t>无缝对接</w:t>
      </w:r>
      <w:r>
        <w:rPr>
          <w:rFonts w:ascii="仿宋" w:hAnsi="仿宋" w:eastAsia="仿宋" w:cs="Times New Roman"/>
          <w:sz w:val="32"/>
          <w:szCs w:val="32"/>
        </w:rPr>
        <w:t>。</w:t>
      </w:r>
    </w:p>
    <w:p>
      <w:pPr>
        <w:pStyle w:val="12"/>
        <w:spacing w:line="360" w:lineRule="auto"/>
        <w:ind w:firstLine="643" w:firstLineChars="200"/>
        <w:rPr>
          <w:rFonts w:ascii="仿宋" w:hAnsi="仿宋" w:eastAsia="仿宋" w:cs="Times New Roman"/>
          <w:b/>
          <w:sz w:val="32"/>
          <w:szCs w:val="32"/>
        </w:rPr>
      </w:pPr>
      <w:r>
        <w:rPr>
          <w:rFonts w:hint="eastAsia" w:ascii="仿宋" w:hAnsi="仿宋" w:eastAsia="仿宋" w:cs="Times New Roman"/>
          <w:b/>
          <w:sz w:val="32"/>
          <w:szCs w:val="32"/>
        </w:rPr>
        <w:t>7</w:t>
      </w:r>
      <w:r>
        <w:rPr>
          <w:rFonts w:ascii="仿宋" w:hAnsi="仿宋" w:eastAsia="仿宋" w:cs="Times New Roman"/>
          <w:b/>
          <w:sz w:val="32"/>
          <w:szCs w:val="32"/>
        </w:rPr>
        <w:t>.</w:t>
      </w:r>
      <w:r>
        <w:rPr>
          <w:rFonts w:hint="eastAsia" w:ascii="仿宋" w:hAnsi="仿宋" w:eastAsia="仿宋" w:cs="Times New Roman"/>
          <w:b/>
          <w:sz w:val="32"/>
          <w:szCs w:val="32"/>
        </w:rPr>
        <w:t>专业结构电力特色显著</w:t>
      </w:r>
    </w:p>
    <w:p>
      <w:pPr>
        <w:pStyle w:val="12"/>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在专业建设、调整和优化过程中，针对企业办学的特点，学校坚持“依托电网、面向社会、服务企业”的办学理念，根据电力行业和区域经济社会发展、变化的需要，结合学校办学实际，坚持以以电力专业群发展为主线和以适应性与前瞻性统一、稳定性与灵活性相统一的原则，积极、稳妥的调整现有专业、办精已有专业、增设新专业、拓展专业方向，形成能主动适应电力行业和区域经济社会发展，与市场接轨，适合自身发展的专业调整与建设的思路。根据新能源建设、智能电网建设和能效管理等新技术发展方向，不断优化电力、动力类专业结构，调整专业发展重点，调整计算机通信、市场营销等专业服务电力方向，突出电力特色。</w:t>
      </w:r>
    </w:p>
    <w:p>
      <w:pPr>
        <w:pStyle w:val="12"/>
        <w:spacing w:line="360" w:lineRule="auto"/>
        <w:ind w:firstLine="643" w:firstLineChars="200"/>
        <w:rPr>
          <w:rFonts w:ascii="仿宋" w:hAnsi="仿宋" w:eastAsia="仿宋" w:cs="Times New Roman"/>
          <w:sz w:val="32"/>
          <w:szCs w:val="32"/>
        </w:rPr>
      </w:pPr>
      <w:r>
        <w:rPr>
          <w:rFonts w:hint="eastAsia" w:ascii="仿宋" w:hAnsi="仿宋" w:eastAsia="仿宋" w:cs="Times New Roman"/>
          <w:b/>
          <w:sz w:val="32"/>
          <w:szCs w:val="32"/>
        </w:rPr>
        <w:t>8.专业教育与创新创业教育有机融合</w:t>
      </w:r>
    </w:p>
    <w:p>
      <w:pPr>
        <w:pStyle w:val="12"/>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学校将创新创业教育课程纳入人才培养方案，加强相关课程的开发，突出大学生创新精神、创业意识和创新创业能力培养，目前已经在各班级单独开设创新创业课程。深化创新创业教育课程体系建设，根据人才培养定位和创新创业教育目标要求，促进专业教育与创新创业教育有机融合。精简课堂教学总课时数，适当减少课程门数，增大学生自主学习的时间和空间，加大学生实践能力与创新精神培养的教学改革力度。开设技术前沿、创业基础、就业创业指导等方面的通识教育必修课和素质拓展课。将就业观、创新创业理念贯穿整个学习阶段，采用课堂教学配合相应的实践训练等形式开设。以学生为主体，广泛开展启发式、讨论式、参与式和项目化教学，创造条件扩大小班化教学覆盖面，注重培养学生的创造性思维，鼓励教师把学术前沿发展、最新研究成果和创新实践经验融入课堂教学，激发学生创新创业灵感。组织学生参加“陕西省大学生创新创业训练营”，参加第二届中国“互联网+”大学生创新创业大赛和第二届“中国创翼”青年创业创新大赛，计划成立大学生创新创业社团，建立创新创业实践基地，将创新创业活动贯穿到到人才培养全过程。</w:t>
      </w:r>
    </w:p>
    <w:p>
      <w:pPr>
        <w:pStyle w:val="12"/>
        <w:spacing w:line="360" w:lineRule="auto"/>
        <w:ind w:firstLine="643" w:firstLineChars="200"/>
        <w:rPr>
          <w:rFonts w:ascii="仿宋" w:hAnsi="仿宋" w:eastAsia="仿宋" w:cs="Times New Roman"/>
          <w:b/>
          <w:sz w:val="32"/>
          <w:szCs w:val="32"/>
        </w:rPr>
      </w:pPr>
      <w:r>
        <w:rPr>
          <w:rFonts w:hint="eastAsia" w:ascii="仿宋" w:hAnsi="仿宋" w:eastAsia="仿宋" w:cs="Times New Roman"/>
          <w:b/>
          <w:sz w:val="32"/>
          <w:szCs w:val="32"/>
        </w:rPr>
        <w:t>9</w:t>
      </w:r>
      <w:r>
        <w:rPr>
          <w:rFonts w:ascii="仿宋" w:hAnsi="仿宋" w:eastAsia="仿宋" w:cs="Times New Roman"/>
          <w:b/>
          <w:sz w:val="32"/>
          <w:szCs w:val="32"/>
        </w:rPr>
        <w:t>.</w:t>
      </w:r>
      <w:r>
        <w:rPr>
          <w:rFonts w:hint="eastAsia" w:ascii="仿宋" w:hAnsi="仿宋" w:eastAsia="仿宋" w:cs="Times New Roman"/>
          <w:b/>
          <w:sz w:val="32"/>
          <w:szCs w:val="32"/>
        </w:rPr>
        <w:t>学校治理结构趋于完善</w:t>
      </w:r>
    </w:p>
    <w:p>
      <w:pPr>
        <w:pStyle w:val="12"/>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落实《高等学校章程制定暂行办法》，建立健全依法自主管理、民主监督、社会参与的学校治理结构。完成学校“一章八制”章程制定、修订工作，即制定学校学章程和高校党委领导下的校长负责制、教职工代表大会制度、学术委员会制度、理事会制度、教师申诉制度、学生申诉制度、财经委员会制度、信息公开制度。设立学术委员会并制定规程；设立理事会机构或者董事会机构并制定相应制度。</w:t>
      </w:r>
    </w:p>
    <w:p>
      <w:pPr>
        <w:pStyle w:val="12"/>
        <w:spacing w:line="360" w:lineRule="auto"/>
        <w:ind w:firstLine="643" w:firstLineChars="200"/>
        <w:rPr>
          <w:rFonts w:ascii="仿宋" w:hAnsi="仿宋" w:eastAsia="仿宋" w:cs="Times New Roman"/>
          <w:b/>
          <w:sz w:val="32"/>
          <w:szCs w:val="32"/>
        </w:rPr>
      </w:pPr>
      <w:r>
        <w:rPr>
          <w:rFonts w:hint="eastAsia" w:ascii="仿宋" w:hAnsi="仿宋" w:eastAsia="仿宋" w:cs="Times New Roman"/>
          <w:b/>
          <w:sz w:val="32"/>
          <w:szCs w:val="32"/>
        </w:rPr>
        <w:t>10</w:t>
      </w:r>
      <w:r>
        <w:rPr>
          <w:rFonts w:ascii="仿宋" w:hAnsi="仿宋" w:eastAsia="仿宋" w:cs="Times New Roman"/>
          <w:b/>
          <w:sz w:val="32"/>
          <w:szCs w:val="32"/>
        </w:rPr>
        <w:t>.</w:t>
      </w:r>
      <w:r>
        <w:rPr>
          <w:rFonts w:hint="eastAsia" w:ascii="仿宋" w:hAnsi="仿宋" w:eastAsia="仿宋" w:cs="Times New Roman"/>
          <w:b/>
          <w:sz w:val="32"/>
          <w:szCs w:val="32"/>
        </w:rPr>
        <w:t>质量年报可读性增强</w:t>
      </w:r>
    </w:p>
    <w:p>
      <w:pPr>
        <w:pStyle w:val="12"/>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结合学校实际情况，完善学校教育质量报告撰写工作方法。组织专家一同探讨学校教育质量年度报告，明确教育质量报告编写要求及量化指标并完善相关教学质量监控管理办法。组织相关专家成立教育质量报告专业审核小组，邀请经验丰富的质量管理专家共同参与当年度学校教育质量报告审核工作，形成多方审核我校教育质量年度报告。</w:t>
      </w:r>
    </w:p>
    <w:p>
      <w:pPr>
        <w:pStyle w:val="12"/>
        <w:spacing w:line="360" w:lineRule="auto"/>
        <w:ind w:firstLine="643" w:firstLineChars="200"/>
        <w:rPr>
          <w:rFonts w:ascii="仿宋" w:hAnsi="仿宋" w:eastAsia="仿宋" w:cs="Times New Roman"/>
          <w:b/>
          <w:sz w:val="32"/>
          <w:szCs w:val="32"/>
        </w:rPr>
      </w:pPr>
      <w:r>
        <w:rPr>
          <w:rFonts w:hint="eastAsia" w:ascii="仿宋" w:hAnsi="仿宋" w:eastAsia="仿宋" w:cs="Times New Roman"/>
          <w:b/>
          <w:sz w:val="32"/>
          <w:szCs w:val="32"/>
        </w:rPr>
        <w:t>11</w:t>
      </w:r>
      <w:r>
        <w:rPr>
          <w:rFonts w:ascii="仿宋" w:hAnsi="仿宋" w:eastAsia="仿宋" w:cs="Times New Roman"/>
          <w:b/>
          <w:sz w:val="32"/>
          <w:szCs w:val="32"/>
        </w:rPr>
        <w:t>.</w:t>
      </w:r>
      <w:r>
        <w:rPr>
          <w:rFonts w:hint="eastAsia" w:ascii="仿宋" w:hAnsi="仿宋" w:eastAsia="仿宋" w:cs="Times New Roman"/>
          <w:b/>
          <w:sz w:val="32"/>
          <w:szCs w:val="32"/>
        </w:rPr>
        <w:t>学校内部质量保证体系</w:t>
      </w:r>
      <w:r>
        <w:rPr>
          <w:rFonts w:hint="eastAsia" w:ascii="仿宋" w:hAnsi="仿宋" w:eastAsia="仿宋" w:cs="Times New Roman"/>
          <w:b/>
          <w:sz w:val="32"/>
          <w:szCs w:val="32"/>
          <w:lang w:eastAsia="zh-CN"/>
        </w:rPr>
        <w:t>趋于</w:t>
      </w:r>
      <w:r>
        <w:rPr>
          <w:rFonts w:hint="eastAsia" w:ascii="仿宋" w:hAnsi="仿宋" w:eastAsia="仿宋" w:cs="Times New Roman"/>
          <w:b/>
          <w:sz w:val="32"/>
          <w:szCs w:val="32"/>
        </w:rPr>
        <w:t>完善</w:t>
      </w:r>
    </w:p>
    <w:p>
      <w:pPr>
        <w:pStyle w:val="12"/>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准确把握诊改工作目的意义和工作重点，在决策指挥、质量生成、资源建设、支持服务和监督控制等五个纵向系统及学校、专业、课程、教师、学生等五个横向层面建立完整且相对独立的自我质量保证机制，强化学校各层级管理系统间的质量依存关系，形成全要素网络化全覆盖的内部质量保证体系。</w:t>
      </w:r>
    </w:p>
    <w:p>
      <w:pPr>
        <w:pStyle w:val="12"/>
        <w:spacing w:line="360" w:lineRule="auto"/>
        <w:ind w:firstLine="643" w:firstLineChars="200"/>
        <w:rPr>
          <w:rFonts w:ascii="仿宋" w:hAnsi="仿宋" w:eastAsia="仿宋" w:cs="Times New Roman"/>
          <w:b/>
          <w:sz w:val="32"/>
          <w:szCs w:val="32"/>
        </w:rPr>
      </w:pPr>
      <w:r>
        <w:rPr>
          <w:rFonts w:hint="eastAsia" w:ascii="仿宋" w:hAnsi="仿宋" w:eastAsia="仿宋" w:cs="Times New Roman"/>
          <w:b/>
          <w:sz w:val="32"/>
          <w:szCs w:val="32"/>
        </w:rPr>
        <w:t>12</w:t>
      </w:r>
      <w:r>
        <w:rPr>
          <w:rFonts w:ascii="仿宋" w:hAnsi="仿宋" w:eastAsia="仿宋" w:cs="Times New Roman"/>
          <w:b/>
          <w:sz w:val="32"/>
          <w:szCs w:val="32"/>
        </w:rPr>
        <w:t>.</w:t>
      </w:r>
      <w:r>
        <w:rPr>
          <w:rFonts w:hint="eastAsia" w:ascii="仿宋" w:hAnsi="仿宋" w:eastAsia="仿宋" w:cs="Times New Roman"/>
          <w:b/>
          <w:sz w:val="32"/>
          <w:szCs w:val="32"/>
        </w:rPr>
        <w:t>教师管理</w:t>
      </w:r>
      <w:r>
        <w:rPr>
          <w:rFonts w:hint="eastAsia" w:ascii="仿宋" w:hAnsi="仿宋" w:eastAsia="仿宋" w:cs="Times New Roman"/>
          <w:b/>
          <w:sz w:val="32"/>
          <w:szCs w:val="32"/>
          <w:lang w:eastAsia="zh-CN"/>
        </w:rPr>
        <w:t>更加合理</w:t>
      </w:r>
    </w:p>
    <w:p>
      <w:pPr>
        <w:pStyle w:val="12"/>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加强教师分类管理、分类评价的人事管理制度改革，根据实际制定有利于激发和调动教师的主动性、积极性、创造性新型管理制度，开展岗位分类管理，划分为教学型岗位、培训型岗位、教学培训型岗位、服务企业科研岗位等，从而构建教师岗位分类管理体系。全面推行按岗聘用、竞聘上岗，实行量化考核和绩效评价，推行按岗聘用、竞聘上岗遵循按需设岗、平等竞争、择优聘任的原则。实施岗位聘任与技术资格相分离，以岗定薪。同时加强考核机制，充分发挥学校现有人力资源优势，</w:t>
      </w:r>
      <w:r>
        <w:rPr>
          <w:rFonts w:ascii="仿宋" w:hAnsi="仿宋" w:eastAsia="仿宋" w:cs="Times New Roman"/>
          <w:sz w:val="32"/>
          <w:szCs w:val="32"/>
        </w:rPr>
        <w:t>探索设置</w:t>
      </w:r>
      <w:r>
        <w:rPr>
          <w:rFonts w:hint="eastAsia" w:ascii="仿宋" w:hAnsi="仿宋" w:eastAsia="仿宋" w:cs="Times New Roman"/>
          <w:sz w:val="32"/>
          <w:szCs w:val="32"/>
        </w:rPr>
        <w:t>教学</w:t>
      </w:r>
      <w:r>
        <w:rPr>
          <w:rFonts w:ascii="仿宋" w:hAnsi="仿宋" w:eastAsia="仿宋" w:cs="Times New Roman"/>
          <w:sz w:val="32"/>
          <w:szCs w:val="32"/>
        </w:rPr>
        <w:t>岗位</w:t>
      </w:r>
      <w:r>
        <w:rPr>
          <w:rFonts w:hint="eastAsia" w:ascii="仿宋" w:hAnsi="仿宋" w:eastAsia="仿宋" w:cs="Times New Roman"/>
          <w:sz w:val="32"/>
          <w:szCs w:val="32"/>
        </w:rPr>
        <w:t>、培训岗位、教学培训并重岗位、实验教学岗位、学生思政岗位</w:t>
      </w:r>
      <w:r>
        <w:rPr>
          <w:rFonts w:ascii="仿宋" w:hAnsi="仿宋" w:eastAsia="仿宋" w:cs="Times New Roman"/>
          <w:sz w:val="32"/>
          <w:szCs w:val="32"/>
        </w:rPr>
        <w:t>和</w:t>
      </w:r>
      <w:r>
        <w:rPr>
          <w:rFonts w:hint="eastAsia" w:ascii="仿宋" w:hAnsi="仿宋" w:eastAsia="仿宋" w:cs="Times New Roman"/>
          <w:sz w:val="32"/>
          <w:szCs w:val="32"/>
        </w:rPr>
        <w:t>服务企业</w:t>
      </w:r>
      <w:r>
        <w:rPr>
          <w:rFonts w:ascii="仿宋" w:hAnsi="仿宋" w:eastAsia="仿宋" w:cs="Times New Roman"/>
          <w:sz w:val="32"/>
          <w:szCs w:val="32"/>
        </w:rPr>
        <w:t>科研岗位</w:t>
      </w:r>
      <w:r>
        <w:rPr>
          <w:rFonts w:hint="eastAsia" w:ascii="仿宋" w:hAnsi="仿宋" w:eastAsia="仿宋" w:cs="Times New Roman"/>
          <w:sz w:val="32"/>
          <w:szCs w:val="32"/>
        </w:rPr>
        <w:t>等</w:t>
      </w:r>
      <w:r>
        <w:rPr>
          <w:rFonts w:ascii="仿宋" w:hAnsi="仿宋" w:eastAsia="仿宋" w:cs="Times New Roman"/>
          <w:sz w:val="32"/>
          <w:szCs w:val="32"/>
        </w:rPr>
        <w:t>，进一步构建多元化用人格局</w:t>
      </w:r>
      <w:r>
        <w:rPr>
          <w:rFonts w:hint="eastAsia" w:ascii="仿宋" w:hAnsi="仿宋" w:eastAsia="仿宋" w:cs="Times New Roman"/>
          <w:sz w:val="32"/>
          <w:szCs w:val="32"/>
        </w:rPr>
        <w:t>，实行教师岗位聘任动态管理，形成能上能下的管理体制。</w:t>
      </w:r>
    </w:p>
    <w:p>
      <w:pPr>
        <w:pStyle w:val="12"/>
        <w:spacing w:line="360" w:lineRule="auto"/>
        <w:ind w:firstLine="643" w:firstLineChars="200"/>
        <w:rPr>
          <w:rFonts w:ascii="仿宋" w:hAnsi="仿宋" w:eastAsia="仿宋" w:cs="Times New Roman"/>
          <w:b/>
          <w:sz w:val="32"/>
          <w:szCs w:val="32"/>
        </w:rPr>
      </w:pPr>
      <w:r>
        <w:rPr>
          <w:rFonts w:hint="eastAsia" w:ascii="仿宋" w:hAnsi="仿宋" w:eastAsia="仿宋" w:cs="Times New Roman"/>
          <w:b/>
          <w:sz w:val="32"/>
          <w:szCs w:val="32"/>
        </w:rPr>
        <w:t>13</w:t>
      </w:r>
      <w:r>
        <w:rPr>
          <w:rFonts w:ascii="仿宋" w:hAnsi="仿宋" w:eastAsia="仿宋" w:cs="Times New Roman"/>
          <w:b/>
          <w:sz w:val="32"/>
          <w:szCs w:val="32"/>
        </w:rPr>
        <w:t>.</w:t>
      </w:r>
      <w:r>
        <w:rPr>
          <w:rFonts w:hint="eastAsia" w:ascii="仿宋" w:hAnsi="仿宋" w:eastAsia="仿宋" w:cs="Times New Roman"/>
          <w:b/>
          <w:sz w:val="32"/>
          <w:szCs w:val="32"/>
        </w:rPr>
        <w:t>高等职业教育研究工作</w:t>
      </w:r>
      <w:r>
        <w:rPr>
          <w:rFonts w:hint="eastAsia" w:ascii="仿宋" w:hAnsi="仿宋" w:eastAsia="仿宋" w:cs="Times New Roman"/>
          <w:b/>
          <w:sz w:val="32"/>
          <w:szCs w:val="32"/>
          <w:lang w:eastAsia="zh-CN"/>
        </w:rPr>
        <w:t>得到加强</w:t>
      </w:r>
    </w:p>
    <w:p>
      <w:pPr>
        <w:pStyle w:val="12"/>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加强学校高等职业教育研究机构和队伍建设，组建教育教学研究团队，主要开展专业建设、课程建设、教学方法和手段、教学质量管理等课题研究。加大投入支持相关研究工作，设立教育教学改革研究专项基金。鼓励教师积极提炼教研成果，设立学校教学研究专项成果奖，培育有潜力的研究成果参与省部级、国家级教学成果奖申报。将应用效果做为成果评审条件，评选优秀成果给予表彰奖励。</w:t>
      </w:r>
    </w:p>
    <w:p>
      <w:pPr>
        <w:pStyle w:val="12"/>
        <w:spacing w:line="360" w:lineRule="auto"/>
        <w:ind w:firstLine="643" w:firstLineChars="200"/>
        <w:rPr>
          <w:rFonts w:ascii="仿宋" w:hAnsi="仿宋" w:eastAsia="仿宋" w:cs="Times New Roman"/>
          <w:b/>
          <w:sz w:val="32"/>
          <w:szCs w:val="32"/>
        </w:rPr>
      </w:pPr>
      <w:r>
        <w:rPr>
          <w:rFonts w:hint="eastAsia" w:ascii="仿宋" w:hAnsi="仿宋" w:eastAsia="仿宋" w:cs="Times New Roman"/>
          <w:b/>
          <w:sz w:val="32"/>
          <w:szCs w:val="32"/>
        </w:rPr>
        <w:t>14</w:t>
      </w:r>
      <w:r>
        <w:rPr>
          <w:rFonts w:ascii="仿宋" w:hAnsi="仿宋" w:eastAsia="仿宋" w:cs="Times New Roman"/>
          <w:b/>
          <w:sz w:val="32"/>
          <w:szCs w:val="32"/>
        </w:rPr>
        <w:t>.</w:t>
      </w:r>
      <w:r>
        <w:rPr>
          <w:rFonts w:hint="eastAsia" w:ascii="仿宋" w:hAnsi="仿宋" w:eastAsia="仿宋" w:cs="Times New Roman"/>
          <w:b/>
          <w:sz w:val="32"/>
          <w:szCs w:val="32"/>
        </w:rPr>
        <w:t>辅导员队伍素质</w:t>
      </w:r>
      <w:r>
        <w:rPr>
          <w:rFonts w:hint="eastAsia" w:ascii="仿宋" w:hAnsi="仿宋" w:eastAsia="仿宋" w:cs="Times New Roman"/>
          <w:b/>
          <w:sz w:val="32"/>
          <w:szCs w:val="32"/>
          <w:lang w:eastAsia="zh-CN"/>
        </w:rPr>
        <w:t>提高</w:t>
      </w:r>
    </w:p>
    <w:p>
      <w:pPr>
        <w:pStyle w:val="12"/>
        <w:spacing w:line="360" w:lineRule="auto"/>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rPr>
        <w:t>围绕提升大学生思想政治教育工作精细化和科学化水平、服务大学生健康成长成才这一中心任务，通过三年的努力，实现“三个更加”即：使辅导员队伍建设的体制机制更加健全，辅导员队伍的培养体系更加完善，辅导员队伍的发展渠道更加畅通；体现“三个显著”即：辅导员队伍的专业化水平显著提高，辅导员队伍的工作质量显著提升，辅导员队伍的职业认同感显著增强。</w:t>
      </w:r>
      <w:r>
        <w:rPr>
          <w:rFonts w:hint="eastAsia" w:ascii="仿宋" w:hAnsi="仿宋" w:eastAsia="仿宋" w:cs="Times New Roman"/>
          <w:sz w:val="32"/>
          <w:szCs w:val="32"/>
          <w:lang w:eastAsia="zh-CN"/>
        </w:rPr>
        <w:t>学校确保</w:t>
      </w:r>
      <w:r>
        <w:rPr>
          <w:rFonts w:hint="eastAsia" w:ascii="仿宋" w:hAnsi="仿宋" w:eastAsia="仿宋" w:cs="Times New Roman"/>
          <w:sz w:val="32"/>
          <w:szCs w:val="32"/>
        </w:rPr>
        <w:t>按师生比1:200配备辅导员</w:t>
      </w:r>
      <w:r>
        <w:rPr>
          <w:rFonts w:hint="eastAsia" w:ascii="仿宋" w:hAnsi="仿宋" w:eastAsia="仿宋" w:cs="Times New Roman"/>
          <w:sz w:val="32"/>
          <w:szCs w:val="32"/>
          <w:lang w:val="en-US" w:eastAsia="zh-CN"/>
        </w:rPr>
        <w:t>。</w:t>
      </w:r>
    </w:p>
    <w:p>
      <w:pPr>
        <w:pStyle w:val="12"/>
        <w:spacing w:line="360" w:lineRule="auto"/>
        <w:ind w:firstLine="643" w:firstLineChars="200"/>
        <w:rPr>
          <w:rFonts w:hint="eastAsia" w:ascii="仿宋" w:hAnsi="仿宋" w:eastAsia="仿宋" w:cs="Times New Roman"/>
          <w:b/>
          <w:sz w:val="32"/>
          <w:szCs w:val="32"/>
        </w:rPr>
      </w:pPr>
      <w:r>
        <w:rPr>
          <w:rFonts w:hint="eastAsia" w:ascii="仿宋" w:hAnsi="仿宋" w:eastAsia="仿宋" w:cs="Times New Roman"/>
          <w:b/>
          <w:sz w:val="32"/>
          <w:szCs w:val="32"/>
          <w:lang w:val="en-US" w:eastAsia="zh-CN"/>
        </w:rPr>
        <w:t>15.</w:t>
      </w:r>
      <w:r>
        <w:rPr>
          <w:rFonts w:hint="eastAsia" w:ascii="仿宋" w:hAnsi="仿宋" w:eastAsia="仿宋" w:cs="Times New Roman"/>
          <w:b/>
          <w:sz w:val="32"/>
          <w:szCs w:val="32"/>
        </w:rPr>
        <w:t>创建平安校园</w:t>
      </w:r>
      <w:r>
        <w:rPr>
          <w:rFonts w:hint="eastAsia" w:ascii="仿宋" w:hAnsi="仿宋" w:eastAsia="仿宋" w:cs="Times New Roman"/>
          <w:b/>
          <w:sz w:val="32"/>
          <w:szCs w:val="32"/>
          <w:lang w:eastAsia="zh-CN"/>
        </w:rPr>
        <w:t>、</w:t>
      </w:r>
      <w:r>
        <w:rPr>
          <w:rFonts w:hint="eastAsia" w:ascii="仿宋" w:hAnsi="仿宋" w:eastAsia="仿宋" w:cs="Times New Roman"/>
          <w:b/>
          <w:sz w:val="32"/>
          <w:szCs w:val="32"/>
        </w:rPr>
        <w:t>和谐校园</w:t>
      </w:r>
    </w:p>
    <w:p>
      <w:pPr>
        <w:pStyle w:val="12"/>
        <w:spacing w:line="360" w:lineRule="auto"/>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rPr>
        <w:t>学校以办好学校教育为目标，紧密结合学校的教育发展和稳定的实际，坚持教育与管理、治理与建设相结合，解放思想、实事求是、与时俱进、求真务实、全面提升校内安全防范水平，不断提升应对各类恐怖突发事件的预防及处置能力，切实维护校内及周边治安秩序，积极营造安全、稳定、文明、健康、和谐有序的育人环境。</w:t>
      </w:r>
    </w:p>
    <w:p>
      <w:pPr>
        <w:pStyle w:val="12"/>
        <w:spacing w:line="360" w:lineRule="auto"/>
        <w:ind w:firstLine="643" w:firstLineChars="200"/>
        <w:rPr>
          <w:rFonts w:ascii="仿宋" w:hAnsi="仿宋" w:eastAsia="仿宋" w:cs="Times New Roman"/>
          <w:b/>
          <w:sz w:val="32"/>
          <w:szCs w:val="32"/>
        </w:rPr>
      </w:pPr>
      <w:r>
        <w:rPr>
          <w:rFonts w:hint="eastAsia" w:ascii="仿宋" w:hAnsi="仿宋" w:eastAsia="仿宋" w:cs="Times New Roman"/>
          <w:b/>
          <w:sz w:val="32"/>
          <w:szCs w:val="32"/>
        </w:rPr>
        <w:t>1</w:t>
      </w:r>
      <w:r>
        <w:rPr>
          <w:rFonts w:hint="eastAsia" w:ascii="仿宋" w:hAnsi="仿宋" w:eastAsia="仿宋" w:cs="Times New Roman"/>
          <w:b/>
          <w:sz w:val="32"/>
          <w:szCs w:val="32"/>
          <w:lang w:val="en-US" w:eastAsia="zh-CN"/>
        </w:rPr>
        <w:t>6</w:t>
      </w:r>
      <w:r>
        <w:rPr>
          <w:rFonts w:hint="eastAsia" w:ascii="仿宋" w:hAnsi="仿宋" w:eastAsia="仿宋" w:cs="Times New Roman"/>
          <w:b/>
          <w:sz w:val="32"/>
          <w:szCs w:val="32"/>
        </w:rPr>
        <w:t>.</w:t>
      </w:r>
      <w:r>
        <w:rPr>
          <w:rFonts w:ascii="仿宋" w:hAnsi="仿宋" w:eastAsia="仿宋" w:cs="Times New Roman"/>
          <w:b/>
          <w:sz w:val="32"/>
          <w:szCs w:val="32"/>
        </w:rPr>
        <w:t>思想政治工作</w:t>
      </w:r>
      <w:r>
        <w:rPr>
          <w:rFonts w:hint="eastAsia" w:ascii="仿宋" w:hAnsi="仿宋" w:eastAsia="仿宋" w:cs="Times New Roman"/>
          <w:b/>
          <w:sz w:val="32"/>
          <w:szCs w:val="32"/>
          <w:lang w:eastAsia="zh-CN"/>
        </w:rPr>
        <w:t>成效显著</w:t>
      </w:r>
    </w:p>
    <w:p>
      <w:pPr>
        <w:pStyle w:val="12"/>
        <w:spacing w:line="360" w:lineRule="auto"/>
        <w:ind w:firstLine="640" w:firstLineChars="200"/>
        <w:rPr>
          <w:rFonts w:ascii="仿宋" w:hAnsi="仿宋" w:eastAsia="仿宋" w:cs="Times New Roman"/>
          <w:sz w:val="32"/>
          <w:szCs w:val="32"/>
        </w:rPr>
      </w:pPr>
      <w:r>
        <w:rPr>
          <w:rFonts w:ascii="仿宋" w:hAnsi="仿宋" w:eastAsia="仿宋" w:cs="Times New Roman"/>
          <w:sz w:val="32"/>
          <w:szCs w:val="32"/>
        </w:rPr>
        <w:t>学校加</w:t>
      </w:r>
      <w:r>
        <w:rPr>
          <w:rFonts w:hint="eastAsia" w:ascii="仿宋" w:hAnsi="仿宋" w:eastAsia="仿宋" w:cs="Times New Roman"/>
          <w:sz w:val="32"/>
          <w:szCs w:val="32"/>
        </w:rPr>
        <w:t>大思想</w:t>
      </w:r>
      <w:r>
        <w:rPr>
          <w:rFonts w:ascii="仿宋" w:hAnsi="仿宋" w:eastAsia="仿宋" w:cs="Times New Roman"/>
          <w:sz w:val="32"/>
          <w:szCs w:val="32"/>
        </w:rPr>
        <w:t>宣传</w:t>
      </w:r>
      <w:r>
        <w:rPr>
          <w:rFonts w:hint="eastAsia" w:ascii="仿宋" w:hAnsi="仿宋" w:eastAsia="仿宋" w:cs="Times New Roman"/>
          <w:sz w:val="32"/>
          <w:szCs w:val="32"/>
        </w:rPr>
        <w:t>力度</w:t>
      </w:r>
      <w:r>
        <w:rPr>
          <w:rFonts w:ascii="仿宋" w:hAnsi="仿宋" w:eastAsia="仿宋" w:cs="Times New Roman"/>
          <w:sz w:val="32"/>
          <w:szCs w:val="32"/>
        </w:rPr>
        <w:t>，</w:t>
      </w:r>
      <w:r>
        <w:rPr>
          <w:rFonts w:hint="eastAsia" w:ascii="仿宋" w:hAnsi="仿宋" w:eastAsia="仿宋" w:cs="Times New Roman"/>
          <w:sz w:val="32"/>
          <w:szCs w:val="32"/>
        </w:rPr>
        <w:t>面向全校学生开设心理健康教育课；</w:t>
      </w:r>
      <w:r>
        <w:rPr>
          <w:rFonts w:ascii="仿宋" w:hAnsi="仿宋" w:eastAsia="仿宋" w:cs="Times New Roman"/>
          <w:sz w:val="32"/>
          <w:szCs w:val="32"/>
        </w:rPr>
        <w:t>注重</w:t>
      </w:r>
      <w:r>
        <w:rPr>
          <w:rFonts w:hint="eastAsia" w:ascii="仿宋" w:hAnsi="仿宋" w:eastAsia="仿宋" w:cs="Times New Roman"/>
          <w:sz w:val="32"/>
          <w:szCs w:val="32"/>
        </w:rPr>
        <w:t>师资培养</w:t>
      </w:r>
      <w:r>
        <w:rPr>
          <w:rFonts w:ascii="仿宋" w:hAnsi="仿宋" w:eastAsia="仿宋" w:cs="Times New Roman"/>
          <w:sz w:val="32"/>
          <w:szCs w:val="32"/>
        </w:rPr>
        <w:t>，</w:t>
      </w:r>
      <w:r>
        <w:rPr>
          <w:rFonts w:hint="eastAsia" w:ascii="仿宋" w:hAnsi="仿宋" w:eastAsia="仿宋" w:cs="Times New Roman"/>
          <w:sz w:val="32"/>
          <w:szCs w:val="32"/>
        </w:rPr>
        <w:t>培养专业的心理咨询师，加强思想政治队伍建设；安排全体学生以团体的形式，按照时间节点进行心理健康辅导；</w:t>
      </w:r>
      <w:r>
        <w:rPr>
          <w:rFonts w:ascii="仿宋" w:hAnsi="仿宋" w:eastAsia="仿宋" w:cs="Times New Roman"/>
          <w:sz w:val="32"/>
          <w:szCs w:val="32"/>
        </w:rPr>
        <w:t>帮助大学生不断提高政治理论素质和思想道德素质</w:t>
      </w:r>
      <w:r>
        <w:rPr>
          <w:rFonts w:hint="eastAsia" w:ascii="仿宋" w:hAnsi="仿宋" w:eastAsia="仿宋" w:cs="Times New Roman"/>
          <w:sz w:val="32"/>
          <w:szCs w:val="32"/>
        </w:rPr>
        <w:t>；建成学校、系部、班级、宿舍四级心里健康教育体系；提高辅导员队伍的专业化水平、工作质量、职业认同感。</w:t>
      </w:r>
    </w:p>
    <w:p>
      <w:pPr>
        <w:pStyle w:val="12"/>
        <w:spacing w:line="360" w:lineRule="auto"/>
        <w:ind w:firstLine="643" w:firstLineChars="200"/>
        <w:rPr>
          <w:rFonts w:hint="eastAsia" w:ascii="仿宋" w:hAnsi="仿宋" w:eastAsia="仿宋" w:cs="Times New Roman"/>
          <w:b/>
          <w:sz w:val="32"/>
          <w:szCs w:val="32"/>
        </w:rPr>
      </w:pPr>
      <w:r>
        <w:rPr>
          <w:rFonts w:hint="eastAsia" w:ascii="仿宋" w:hAnsi="仿宋" w:eastAsia="仿宋" w:cs="Times New Roman"/>
          <w:b/>
          <w:sz w:val="32"/>
          <w:szCs w:val="32"/>
          <w:lang w:val="en-US" w:eastAsia="zh-CN"/>
        </w:rPr>
        <w:t>17.</w:t>
      </w:r>
      <w:r>
        <w:rPr>
          <w:rFonts w:hint="eastAsia" w:ascii="仿宋" w:hAnsi="仿宋" w:eastAsia="仿宋" w:cs="Times New Roman"/>
          <w:b/>
          <w:sz w:val="32"/>
          <w:szCs w:val="32"/>
        </w:rPr>
        <w:t>学生社团活动</w:t>
      </w:r>
      <w:r>
        <w:rPr>
          <w:rFonts w:hint="eastAsia" w:ascii="仿宋" w:hAnsi="仿宋" w:eastAsia="仿宋" w:cs="Times New Roman"/>
          <w:b/>
          <w:sz w:val="32"/>
          <w:szCs w:val="32"/>
          <w:lang w:eastAsia="zh-CN"/>
        </w:rPr>
        <w:t>成效显著</w:t>
      </w:r>
    </w:p>
    <w:p>
      <w:pPr>
        <w:pStyle w:val="12"/>
        <w:spacing w:line="360" w:lineRule="auto"/>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eastAsia="zh-CN"/>
        </w:rPr>
        <w:t>学校</w:t>
      </w:r>
      <w:r>
        <w:rPr>
          <w:rFonts w:hint="eastAsia" w:ascii="仿宋" w:hAnsi="仿宋" w:eastAsia="仿宋" w:cs="Times New Roman"/>
          <w:sz w:val="32"/>
          <w:szCs w:val="32"/>
        </w:rPr>
        <w:t>以立德树人为根本，以工匠精神为指引，制定完成德育工作计划；研究将文化素质教育纳入人才培养方案，试点开设1至2门课程，举办青春大讲堂2期；制定完成校园文化建设规划；探索搭建“第二课堂成绩单”；制定学生社团管理办法，配备社团指导老师，政策支持，经费到位。</w:t>
      </w:r>
      <w:r>
        <w:rPr>
          <w:rFonts w:hint="eastAsia" w:ascii="仿宋" w:hAnsi="仿宋" w:eastAsia="仿宋" w:cs="Times New Roman"/>
          <w:sz w:val="32"/>
          <w:szCs w:val="32"/>
          <w:lang w:eastAsia="zh-CN"/>
        </w:rPr>
        <w:t>学校</w:t>
      </w:r>
      <w:r>
        <w:rPr>
          <w:rFonts w:hint="eastAsia" w:ascii="仿宋" w:hAnsi="仿宋" w:eastAsia="仿宋" w:cs="Times New Roman"/>
          <w:sz w:val="32"/>
          <w:szCs w:val="32"/>
        </w:rPr>
        <w:t>丰富德育实践载体，强化文化素质教育；搭建完成“第二课堂成绩单”；文化素质教育正式纳入人才培养方案，开设3至4门课程，举办青春大讲堂4期；形成独具特色的校园文化，具有统一的VI标识，形成优秀校园文化建设成果；社团类型多样，学生参与率较2017年增长20%，活动丰富多彩，打造社团活动品牌。</w:t>
      </w:r>
    </w:p>
    <w:p>
      <w:pPr>
        <w:pStyle w:val="12"/>
        <w:spacing w:line="360" w:lineRule="auto"/>
        <w:ind w:firstLine="643" w:firstLineChars="200"/>
        <w:rPr>
          <w:rFonts w:hint="eastAsia" w:ascii="仿宋" w:hAnsi="仿宋" w:eastAsia="仿宋" w:cs="Times New Roman"/>
          <w:b/>
          <w:sz w:val="32"/>
          <w:szCs w:val="32"/>
        </w:rPr>
      </w:pPr>
      <w:r>
        <w:rPr>
          <w:rFonts w:hint="eastAsia" w:ascii="仿宋" w:hAnsi="仿宋" w:eastAsia="仿宋" w:cs="Times New Roman"/>
          <w:b/>
          <w:sz w:val="32"/>
          <w:szCs w:val="32"/>
          <w:lang w:val="en-US" w:eastAsia="zh-CN"/>
        </w:rPr>
        <w:t>18.</w:t>
      </w:r>
      <w:r>
        <w:rPr>
          <w:rFonts w:hint="eastAsia" w:ascii="仿宋" w:hAnsi="仿宋" w:eastAsia="仿宋" w:cs="Times New Roman"/>
          <w:b/>
          <w:sz w:val="32"/>
          <w:szCs w:val="32"/>
        </w:rPr>
        <w:t>促进职业技能培养与职业精神养成相融合</w:t>
      </w:r>
    </w:p>
    <w:p>
      <w:pPr>
        <w:pStyle w:val="12"/>
        <w:spacing w:line="360" w:lineRule="auto"/>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eastAsia="zh-CN"/>
        </w:rPr>
        <w:t>学校</w:t>
      </w:r>
      <w:r>
        <w:rPr>
          <w:rFonts w:hint="eastAsia" w:ascii="仿宋" w:hAnsi="仿宋" w:eastAsia="仿宋" w:cs="Times New Roman"/>
          <w:sz w:val="32"/>
          <w:szCs w:val="32"/>
        </w:rPr>
        <w:t>通过企业调研，毕业生调研等方法，搜集现场资料，突出职业性、开放性、实践性特点，将职业标准和规范融入人才培养全过程，修订人才培养方案。通过举办校级技能大赛，为省级竞赛选拔竞赛选手。制定竞赛管理办法，激励更多学生参加技能竞赛。按照职业性、生产性、先进性原则建设实训基地，完成实训基地环境营造，贴近企业工作实际。设计基于企业工作实际的实训项目并且实施教学。制定校企文化融合相关制度，组织优秀毕业生、劳模、企业技术能手讲座，促进企业文化进校园、进课堂。</w:t>
      </w:r>
    </w:p>
    <w:p>
      <w:pPr>
        <w:spacing w:line="360" w:lineRule="auto"/>
        <w:ind w:firstLine="643" w:firstLineChars="200"/>
        <w:jc w:val="left"/>
        <w:rPr>
          <w:rFonts w:ascii="仿宋" w:hAnsi="仿宋" w:eastAsia="仿宋" w:cs="宋体"/>
          <w:b/>
          <w:kern w:val="36"/>
          <w:sz w:val="32"/>
          <w:szCs w:val="32"/>
        </w:rPr>
      </w:pPr>
      <w:r>
        <w:rPr>
          <w:rFonts w:hint="eastAsia" w:ascii="仿宋" w:hAnsi="仿宋" w:eastAsia="仿宋" w:cs="宋体"/>
          <w:b/>
          <w:kern w:val="36"/>
          <w:sz w:val="32"/>
          <w:szCs w:val="32"/>
        </w:rPr>
        <w:t>六、</w:t>
      </w:r>
      <w:r>
        <w:rPr>
          <w:rFonts w:ascii="仿宋" w:hAnsi="仿宋" w:eastAsia="仿宋" w:cs="宋体"/>
          <w:b/>
          <w:kern w:val="36"/>
          <w:sz w:val="32"/>
          <w:szCs w:val="32"/>
        </w:rPr>
        <w:t>保障措施</w:t>
      </w:r>
    </w:p>
    <w:p>
      <w:pPr>
        <w:pStyle w:val="12"/>
        <w:spacing w:line="360" w:lineRule="auto"/>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根据教育部职业教育与成人教育司《关于确定〈高等职业教育创新发展行动计划（2015-2018年）〉任务（项目）承接单位的通知》（教职成司函〔2016〕30号）和陕西省教育厅《关于做好高等职业教育创新发展行动计划（2015-2018年）任务（项目）申报工作的通知》（陕教高办〔2016〕41号）要求，学校要申报承担33项任务和优质专科高等职业院校建设、骨干专业建设等项目。按照文件要求，各高职院校要高度重视，把行动计划作为“十三五”提高质量的重点工作，建立机制、明确责任，确保建设取得实效。为加强建设工作的领导，保证建设任务和项目的顺利实施，特成立西安电力高等专科学校高等职业教育创新发展行动计划（2015-2018年）建设领导小组和工作机构。</w:t>
      </w:r>
    </w:p>
    <w:p>
      <w:pPr>
        <w:pStyle w:val="12"/>
        <w:spacing w:line="360" w:lineRule="auto"/>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一、建设领导小组</w:t>
      </w:r>
    </w:p>
    <w:p>
      <w:pPr>
        <w:pStyle w:val="12"/>
        <w:spacing w:line="360" w:lineRule="auto"/>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组  长：王乃永</w:t>
      </w:r>
      <w:r>
        <w:rPr>
          <w:rFonts w:hint="eastAsia" w:ascii="仿宋" w:hAnsi="仿宋" w:eastAsia="仿宋" w:cs="Times New Roman"/>
          <w:sz w:val="32"/>
          <w:szCs w:val="32"/>
          <w:lang w:val="en-US" w:eastAsia="zh-CN"/>
        </w:rPr>
        <w:t xml:space="preserve">  韩  森</w:t>
      </w:r>
    </w:p>
    <w:p>
      <w:pPr>
        <w:pStyle w:val="12"/>
        <w:spacing w:line="360" w:lineRule="auto"/>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eastAsia="zh-CN"/>
        </w:rPr>
        <w:t>组</w:t>
      </w:r>
      <w:r>
        <w:rPr>
          <w:rFonts w:hint="eastAsia" w:ascii="仿宋" w:hAnsi="仿宋" w:eastAsia="仿宋" w:cs="Times New Roman"/>
          <w:sz w:val="32"/>
          <w:szCs w:val="32"/>
        </w:rPr>
        <w:t xml:space="preserve">  员：</w:t>
      </w:r>
      <w:r>
        <w:rPr>
          <w:rFonts w:hint="eastAsia" w:ascii="仿宋" w:hAnsi="仿宋" w:eastAsia="仿宋" w:cs="Times New Roman"/>
          <w:sz w:val="32"/>
          <w:szCs w:val="32"/>
          <w:lang w:eastAsia="zh-CN"/>
        </w:rPr>
        <w:t>解建宝</w:t>
      </w:r>
      <w:r>
        <w:rPr>
          <w:rFonts w:hint="eastAsia" w:ascii="仿宋" w:hAnsi="仿宋" w:eastAsia="仿宋" w:cs="Times New Roman"/>
          <w:sz w:val="32"/>
          <w:szCs w:val="32"/>
          <w:lang w:val="en-US" w:eastAsia="zh-CN"/>
        </w:rPr>
        <w:t xml:space="preserve">  屈龙处  邢志贤  朱光辉  段  江</w:t>
      </w:r>
    </w:p>
    <w:p>
      <w:pPr>
        <w:pStyle w:val="12"/>
        <w:spacing w:line="360" w:lineRule="auto"/>
        <w:ind w:firstLine="640" w:firstLineChars="200"/>
        <w:rPr>
          <w:rFonts w:hint="eastAsia" w:ascii="仿宋" w:hAnsi="仿宋" w:eastAsia="仿宋" w:cs="Times New Roman"/>
          <w:sz w:val="32"/>
          <w:szCs w:val="32"/>
        </w:rPr>
      </w:pPr>
      <w:r>
        <w:rPr>
          <w:rFonts w:hint="eastAsia" w:ascii="仿宋" w:hAnsi="仿宋" w:eastAsia="仿宋" w:cs="Times New Roman"/>
          <w:sz w:val="32"/>
          <w:szCs w:val="32"/>
          <w:lang w:val="en-US" w:eastAsia="zh-CN"/>
        </w:rPr>
        <w:t xml:space="preserve">        张  峰</w:t>
      </w:r>
    </w:p>
    <w:p>
      <w:pPr>
        <w:pStyle w:val="12"/>
        <w:spacing w:line="360" w:lineRule="auto"/>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职  责：</w:t>
      </w:r>
    </w:p>
    <w:p>
      <w:pPr>
        <w:pStyle w:val="12"/>
        <w:spacing w:line="360" w:lineRule="auto"/>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1、全面负责领导任务和项目建设工作，规划制定建设内容和工作目标；</w:t>
      </w:r>
    </w:p>
    <w:p>
      <w:pPr>
        <w:pStyle w:val="12"/>
        <w:spacing w:line="360" w:lineRule="auto"/>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2、决策建设中的重大事项，研究制订相关保障制度及措施；</w:t>
      </w:r>
    </w:p>
    <w:p>
      <w:pPr>
        <w:pStyle w:val="12"/>
        <w:spacing w:line="360" w:lineRule="auto"/>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3、负责资金筹措及配置，落实建设资金和相关政策；</w:t>
      </w:r>
    </w:p>
    <w:p>
      <w:pPr>
        <w:pStyle w:val="12"/>
        <w:spacing w:line="360" w:lineRule="auto"/>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4、组织、管理、协调和监督建设内容的实施，监控建设质量，评估、验收建设成果；</w:t>
      </w:r>
    </w:p>
    <w:p>
      <w:pPr>
        <w:pStyle w:val="12"/>
        <w:spacing w:line="360" w:lineRule="auto"/>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5、审定相关材料及文件，争取省公司和政府部门的支持。</w:t>
      </w:r>
    </w:p>
    <w:p>
      <w:pPr>
        <w:pStyle w:val="12"/>
        <w:spacing w:line="360" w:lineRule="auto"/>
        <w:ind w:firstLine="640" w:firstLineChars="200"/>
        <w:rPr>
          <w:rFonts w:hint="eastAsia" w:ascii="仿宋" w:hAnsi="仿宋" w:eastAsia="仿宋" w:cs="Times New Roman"/>
          <w:sz w:val="32"/>
          <w:szCs w:val="32"/>
        </w:rPr>
      </w:pPr>
      <w:r>
        <w:rPr>
          <w:rFonts w:hint="eastAsia" w:ascii="仿宋" w:hAnsi="仿宋" w:eastAsia="仿宋" w:cs="Times New Roman"/>
          <w:sz w:val="32"/>
          <w:szCs w:val="32"/>
          <w:lang w:eastAsia="zh-CN"/>
        </w:rPr>
        <w:t>二</w:t>
      </w:r>
      <w:r>
        <w:rPr>
          <w:rFonts w:hint="eastAsia" w:ascii="仿宋" w:hAnsi="仿宋" w:eastAsia="仿宋" w:cs="Times New Roman"/>
          <w:sz w:val="32"/>
          <w:szCs w:val="32"/>
        </w:rPr>
        <w:t>、领导小组下设办公室</w:t>
      </w:r>
    </w:p>
    <w:p>
      <w:pPr>
        <w:pStyle w:val="12"/>
        <w:spacing w:line="360" w:lineRule="auto"/>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领导小组下设办公室，办公室挂靠在教务部。</w:t>
      </w:r>
    </w:p>
    <w:p>
      <w:pPr>
        <w:pStyle w:val="12"/>
        <w:spacing w:line="360" w:lineRule="auto"/>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主  任：</w:t>
      </w:r>
      <w:r>
        <w:rPr>
          <w:rFonts w:hint="eastAsia" w:ascii="仿宋" w:hAnsi="仿宋" w:eastAsia="仿宋" w:cs="Times New Roman"/>
          <w:sz w:val="32"/>
          <w:szCs w:val="32"/>
          <w:lang w:eastAsia="zh-CN"/>
        </w:rPr>
        <w:t>朱光辉（兼）</w:t>
      </w:r>
    </w:p>
    <w:p>
      <w:pPr>
        <w:pStyle w:val="12"/>
        <w:spacing w:line="360" w:lineRule="auto"/>
        <w:ind w:firstLine="640" w:firstLineChars="200"/>
        <w:rPr>
          <w:rFonts w:hint="eastAsia" w:ascii="仿宋" w:hAnsi="仿宋" w:eastAsia="仿宋" w:cs="Times New Roman"/>
          <w:sz w:val="32"/>
          <w:szCs w:val="32"/>
        </w:rPr>
      </w:pPr>
      <w:r>
        <w:rPr>
          <w:rFonts w:hint="eastAsia" w:ascii="仿宋" w:hAnsi="仿宋" w:eastAsia="仿宋" w:cs="Times New Roman"/>
          <w:sz w:val="32"/>
          <w:szCs w:val="32"/>
          <w:lang w:eastAsia="zh-CN"/>
        </w:rPr>
        <w:t>成</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lang w:eastAsia="zh-CN"/>
        </w:rPr>
        <w:t>员</w:t>
      </w:r>
      <w:r>
        <w:rPr>
          <w:rFonts w:hint="eastAsia" w:ascii="仿宋" w:hAnsi="仿宋" w:eastAsia="仿宋" w:cs="Times New Roman"/>
          <w:sz w:val="32"/>
          <w:szCs w:val="32"/>
        </w:rPr>
        <w:t>：</w:t>
      </w:r>
      <w:r>
        <w:rPr>
          <w:rFonts w:hint="eastAsia" w:ascii="仿宋" w:hAnsi="仿宋" w:eastAsia="仿宋" w:cs="Times New Roman"/>
          <w:sz w:val="32"/>
          <w:szCs w:val="32"/>
          <w:lang w:eastAsia="zh-CN"/>
        </w:rPr>
        <w:t>各部门、各单位负责人</w:t>
      </w:r>
    </w:p>
    <w:p>
      <w:pPr>
        <w:pStyle w:val="12"/>
        <w:spacing w:line="360" w:lineRule="auto"/>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职  责：</w:t>
      </w:r>
    </w:p>
    <w:p>
      <w:pPr>
        <w:pStyle w:val="12"/>
        <w:spacing w:line="360" w:lineRule="auto"/>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1、在学校建设领导小组的领导下，负责制定建设方案和有关规章制度，组织编制建设计划书及年度建设计划，下达各任务和项目建设目标责任书，按要求上报相应材料；</w:t>
      </w:r>
    </w:p>
    <w:p>
      <w:pPr>
        <w:pStyle w:val="12"/>
        <w:spacing w:line="360" w:lineRule="auto"/>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2、参与建设经费分配和建设规划；</w:t>
      </w:r>
    </w:p>
    <w:p>
      <w:pPr>
        <w:pStyle w:val="12"/>
        <w:spacing w:line="360" w:lineRule="auto"/>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3、指导、协调建设任务和项目的实施，督促、检查建设进度；</w:t>
      </w:r>
    </w:p>
    <w:p>
      <w:pPr>
        <w:pStyle w:val="12"/>
        <w:spacing w:line="360" w:lineRule="auto"/>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4、制定阶段任务验收方案，组织对建设情况进行考评、验收，实施过程监控和目标管理；</w:t>
      </w:r>
    </w:p>
    <w:p>
      <w:pPr>
        <w:pStyle w:val="12"/>
        <w:spacing w:line="360" w:lineRule="auto"/>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5、起草建设阶段总结、汇报材料，及时总结、交流、推广建设经验；</w:t>
      </w:r>
    </w:p>
    <w:p>
      <w:pPr>
        <w:pStyle w:val="12"/>
        <w:spacing w:line="360" w:lineRule="auto"/>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6、协调解决建设过程中的问题，提出需上报领导小组研究议定的重大事项；</w:t>
      </w:r>
    </w:p>
    <w:p>
      <w:pPr>
        <w:pStyle w:val="12"/>
        <w:spacing w:line="360" w:lineRule="auto"/>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7、及时发布建设过程中各方面信息，做好建设档案的收集整理归档和年度考核、检查验收的材料准备工作。</w:t>
      </w:r>
    </w:p>
    <w:p>
      <w:pPr>
        <w:spacing w:line="360" w:lineRule="auto"/>
        <w:ind w:firstLine="643" w:firstLineChars="200"/>
        <w:jc w:val="left"/>
        <w:rPr>
          <w:rFonts w:ascii="仿宋" w:hAnsi="仿宋" w:eastAsia="仿宋" w:cs="宋体"/>
          <w:b/>
          <w:kern w:val="36"/>
          <w:sz w:val="32"/>
          <w:szCs w:val="32"/>
        </w:rPr>
      </w:pPr>
      <w:r>
        <w:rPr>
          <w:rFonts w:hint="eastAsia" w:ascii="仿宋" w:hAnsi="仿宋" w:eastAsia="仿宋" w:cs="宋体"/>
          <w:b/>
          <w:kern w:val="36"/>
          <w:sz w:val="32"/>
          <w:szCs w:val="32"/>
        </w:rPr>
        <w:t>七、附表</w:t>
      </w:r>
    </w:p>
    <w:p>
      <w:pPr>
        <w:spacing w:line="360" w:lineRule="auto"/>
        <w:ind w:firstLine="640" w:firstLineChars="200"/>
        <w:jc w:val="left"/>
        <w:rPr>
          <w:rFonts w:ascii="仿宋" w:hAnsi="仿宋" w:eastAsia="仿宋" w:cs="宋体"/>
          <w:kern w:val="36"/>
          <w:sz w:val="32"/>
          <w:szCs w:val="32"/>
        </w:rPr>
      </w:pPr>
      <w:r>
        <w:rPr>
          <w:rFonts w:hint="eastAsia" w:ascii="仿宋" w:hAnsi="仿宋" w:eastAsia="仿宋" w:cs="宋体"/>
          <w:kern w:val="36"/>
          <w:sz w:val="32"/>
          <w:szCs w:val="32"/>
        </w:rPr>
        <w:t>附表1：西安电力高等专科学校承担高等职业教育创新发展行动计划（</w:t>
      </w:r>
      <w:r>
        <w:rPr>
          <w:rFonts w:ascii="仿宋" w:hAnsi="仿宋" w:eastAsia="仿宋" w:cs="宋体"/>
          <w:kern w:val="36"/>
          <w:sz w:val="32"/>
          <w:szCs w:val="32"/>
        </w:rPr>
        <w:t>2015-2018</w:t>
      </w:r>
      <w:r>
        <w:rPr>
          <w:rFonts w:hint="eastAsia" w:ascii="仿宋" w:hAnsi="仿宋" w:eastAsia="仿宋" w:cs="宋体"/>
          <w:kern w:val="36"/>
          <w:sz w:val="32"/>
          <w:szCs w:val="32"/>
        </w:rPr>
        <w:t>年）任务一栏表</w:t>
      </w:r>
    </w:p>
    <w:p>
      <w:pPr>
        <w:spacing w:line="360" w:lineRule="auto"/>
        <w:ind w:firstLine="640" w:firstLineChars="200"/>
        <w:jc w:val="left"/>
        <w:rPr>
          <w:rFonts w:hint="eastAsia" w:ascii="仿宋" w:hAnsi="仿宋" w:eastAsia="仿宋" w:cs="宋体"/>
          <w:kern w:val="36"/>
          <w:sz w:val="32"/>
          <w:szCs w:val="32"/>
        </w:rPr>
      </w:pPr>
      <w:r>
        <w:rPr>
          <w:rFonts w:hint="eastAsia" w:ascii="仿宋" w:hAnsi="仿宋" w:eastAsia="仿宋" w:cs="宋体"/>
          <w:kern w:val="36"/>
          <w:sz w:val="32"/>
          <w:szCs w:val="32"/>
        </w:rPr>
        <w:t>附表2：西安电力高等专科学校承担高等职业教育创新发展行动计划（</w:t>
      </w:r>
      <w:r>
        <w:rPr>
          <w:rFonts w:ascii="仿宋" w:hAnsi="仿宋" w:eastAsia="仿宋" w:cs="宋体"/>
          <w:kern w:val="36"/>
          <w:sz w:val="32"/>
          <w:szCs w:val="32"/>
        </w:rPr>
        <w:t>2015-2018</w:t>
      </w:r>
      <w:r>
        <w:rPr>
          <w:rFonts w:hint="eastAsia" w:ascii="仿宋" w:hAnsi="仿宋" w:eastAsia="仿宋" w:cs="宋体"/>
          <w:kern w:val="36"/>
          <w:sz w:val="32"/>
          <w:szCs w:val="32"/>
        </w:rPr>
        <w:t>年）项目一栏表</w:t>
      </w:r>
    </w:p>
    <w:p>
      <w:pPr>
        <w:spacing w:line="360" w:lineRule="auto"/>
        <w:ind w:firstLine="643" w:firstLineChars="200"/>
        <w:jc w:val="left"/>
        <w:rPr>
          <w:rFonts w:ascii="仿宋" w:hAnsi="仿宋" w:eastAsia="仿宋" w:cs="宋体"/>
          <w:b/>
          <w:kern w:val="36"/>
          <w:sz w:val="32"/>
          <w:szCs w:val="32"/>
        </w:rPr>
      </w:pPr>
    </w:p>
    <w:p>
      <w:pPr>
        <w:spacing w:line="360" w:lineRule="auto"/>
        <w:ind w:firstLine="643" w:firstLineChars="200"/>
        <w:jc w:val="left"/>
        <w:rPr>
          <w:rFonts w:ascii="仿宋" w:hAnsi="仿宋" w:eastAsia="仿宋" w:cs="宋体"/>
          <w:b/>
          <w:kern w:val="36"/>
          <w:sz w:val="32"/>
          <w:szCs w:val="32"/>
        </w:rPr>
        <w:sectPr>
          <w:pgSz w:w="11906" w:h="16838"/>
          <w:pgMar w:top="1440" w:right="1800" w:bottom="1440" w:left="1800" w:header="851" w:footer="992" w:gutter="0"/>
          <w:cols w:space="720" w:num="1"/>
          <w:docGrid w:type="lines" w:linePitch="312" w:charSpace="0"/>
        </w:sectPr>
      </w:pPr>
    </w:p>
    <w:p>
      <w:pPr>
        <w:widowControl/>
        <w:jc w:val="left"/>
        <w:rPr>
          <w:rFonts w:hint="eastAsia" w:ascii="方正小标宋简体" w:hAnsi="宋体" w:eastAsia="方正小标宋简体" w:cs="宋体"/>
          <w:color w:val="000000"/>
          <w:kern w:val="0"/>
          <w:sz w:val="36"/>
          <w:szCs w:val="36"/>
        </w:rPr>
      </w:pPr>
      <w:r>
        <w:rPr>
          <w:rFonts w:hint="eastAsia" w:ascii="仿宋" w:hAnsi="仿宋" w:eastAsia="仿宋" w:cs="宋体"/>
          <w:b/>
          <w:kern w:val="36"/>
          <w:sz w:val="32"/>
          <w:szCs w:val="32"/>
        </w:rPr>
        <w:t>附表1：</w:t>
      </w:r>
    </w:p>
    <w:p>
      <w:pPr>
        <w:widowControl/>
        <w:jc w:val="center"/>
        <w:rPr>
          <w:rFonts w:ascii="方正小标宋简体" w:hAnsi="宋体" w:eastAsia="方正小标宋简体" w:cs="宋体"/>
          <w:color w:val="000000"/>
          <w:kern w:val="0"/>
          <w:sz w:val="36"/>
          <w:szCs w:val="36"/>
        </w:rPr>
      </w:pPr>
      <w:r>
        <w:rPr>
          <w:rFonts w:hint="eastAsia" w:ascii="方正小标宋简体" w:hAnsi="宋体" w:eastAsia="方正小标宋简体" w:cs="宋体"/>
          <w:color w:val="000000"/>
          <w:kern w:val="0"/>
          <w:sz w:val="36"/>
          <w:szCs w:val="36"/>
        </w:rPr>
        <w:t>西安电力高等专科学校承担高等职业教育创新发展行动计划（</w:t>
      </w:r>
      <w:r>
        <w:rPr>
          <w:rFonts w:ascii="Times New Roman" w:hAnsi="Times New Roman" w:eastAsia="方正小标宋简体" w:cs="Times New Roman"/>
          <w:color w:val="000000"/>
          <w:kern w:val="0"/>
          <w:sz w:val="36"/>
          <w:szCs w:val="36"/>
        </w:rPr>
        <w:t>2015-2018</w:t>
      </w:r>
      <w:r>
        <w:rPr>
          <w:rFonts w:hint="eastAsia" w:ascii="方正小标宋简体" w:hAnsi="宋体" w:eastAsia="方正小标宋简体" w:cs="宋体"/>
          <w:color w:val="000000"/>
          <w:kern w:val="0"/>
          <w:sz w:val="36"/>
          <w:szCs w:val="36"/>
        </w:rPr>
        <w:t>年）任务一栏表</w:t>
      </w:r>
    </w:p>
    <w:tbl>
      <w:tblPr>
        <w:tblW w:w="14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136"/>
        <w:gridCol w:w="6683"/>
        <w:gridCol w:w="1301"/>
        <w:gridCol w:w="899"/>
        <w:gridCol w:w="1191"/>
        <w:gridCol w:w="989"/>
        <w:gridCol w:w="989"/>
        <w:gridCol w:w="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blHeader/>
        </w:trPr>
        <w:tc>
          <w:tcPr>
            <w:tcW w:w="1136" w:type="dxa"/>
            <w:vMerge w:val="restart"/>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编号</w:t>
            </w:r>
          </w:p>
        </w:tc>
        <w:tc>
          <w:tcPr>
            <w:tcW w:w="6683" w:type="dxa"/>
            <w:vMerge w:val="restart"/>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任务名称</w:t>
            </w:r>
          </w:p>
        </w:tc>
        <w:tc>
          <w:tcPr>
            <w:tcW w:w="1301" w:type="dxa"/>
            <w:vMerge w:val="restart"/>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责任部门</w:t>
            </w:r>
          </w:p>
        </w:tc>
        <w:tc>
          <w:tcPr>
            <w:tcW w:w="899" w:type="dxa"/>
            <w:vMerge w:val="restart"/>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责任人</w:t>
            </w:r>
          </w:p>
        </w:tc>
        <w:tc>
          <w:tcPr>
            <w:tcW w:w="4155" w:type="dxa"/>
            <w:gridSpan w:val="4"/>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经费（万元）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0" w:hRule="atLeast"/>
          <w:tblHeader/>
        </w:trPr>
        <w:tc>
          <w:tcPr>
            <w:tcW w:w="1136" w:type="dxa"/>
            <w:vMerge w:val="continue"/>
            <w:vAlign w:val="center"/>
          </w:tcPr>
          <w:p>
            <w:pPr>
              <w:widowControl/>
              <w:jc w:val="left"/>
              <w:rPr>
                <w:rFonts w:ascii="宋体" w:hAnsi="宋体" w:eastAsia="宋体" w:cs="宋体"/>
                <w:b/>
                <w:bCs/>
                <w:color w:val="000000"/>
                <w:kern w:val="0"/>
                <w:sz w:val="22"/>
              </w:rPr>
            </w:pPr>
          </w:p>
        </w:tc>
        <w:tc>
          <w:tcPr>
            <w:tcW w:w="6683" w:type="dxa"/>
            <w:vMerge w:val="continue"/>
            <w:vAlign w:val="center"/>
          </w:tcPr>
          <w:p>
            <w:pPr>
              <w:widowControl/>
              <w:jc w:val="left"/>
              <w:rPr>
                <w:rFonts w:ascii="宋体" w:hAnsi="宋体" w:eastAsia="宋体" w:cs="宋体"/>
                <w:b/>
                <w:bCs/>
                <w:color w:val="000000"/>
                <w:kern w:val="0"/>
                <w:sz w:val="22"/>
              </w:rPr>
            </w:pPr>
          </w:p>
        </w:tc>
        <w:tc>
          <w:tcPr>
            <w:tcW w:w="1301" w:type="dxa"/>
            <w:vMerge w:val="continue"/>
            <w:vAlign w:val="center"/>
          </w:tcPr>
          <w:p>
            <w:pPr>
              <w:widowControl/>
              <w:jc w:val="left"/>
              <w:rPr>
                <w:rFonts w:ascii="宋体" w:hAnsi="宋体" w:eastAsia="宋体" w:cs="宋体"/>
                <w:b/>
                <w:bCs/>
                <w:color w:val="000000"/>
                <w:kern w:val="0"/>
                <w:sz w:val="22"/>
              </w:rPr>
            </w:pPr>
          </w:p>
        </w:tc>
        <w:tc>
          <w:tcPr>
            <w:tcW w:w="899" w:type="dxa"/>
            <w:vMerge w:val="continue"/>
            <w:vAlign w:val="center"/>
          </w:tcPr>
          <w:p>
            <w:pPr>
              <w:widowControl/>
              <w:jc w:val="left"/>
              <w:rPr>
                <w:rFonts w:ascii="宋体" w:hAnsi="宋体" w:eastAsia="宋体" w:cs="宋体"/>
                <w:b/>
                <w:bCs/>
                <w:color w:val="000000"/>
                <w:kern w:val="0"/>
                <w:sz w:val="22"/>
              </w:rPr>
            </w:pPr>
          </w:p>
        </w:tc>
        <w:tc>
          <w:tcPr>
            <w:tcW w:w="1191" w:type="dxa"/>
            <w:vAlign w:val="center"/>
          </w:tcPr>
          <w:p>
            <w:pPr>
              <w:widowControl/>
              <w:jc w:val="center"/>
              <w:rPr>
                <w:rFonts w:hint="eastAsia" w:ascii="宋体" w:hAnsi="宋体" w:eastAsia="宋体" w:cs="宋体"/>
                <w:b/>
                <w:bCs/>
                <w:color w:val="000000"/>
                <w:kern w:val="0"/>
                <w:sz w:val="22"/>
                <w:lang w:val="en-US" w:eastAsia="zh-CN"/>
              </w:rPr>
            </w:pPr>
            <w:r>
              <w:rPr>
                <w:rFonts w:hint="eastAsia" w:ascii="宋体" w:hAnsi="宋体" w:cs="宋体"/>
                <w:b/>
                <w:bCs/>
                <w:color w:val="000000"/>
                <w:kern w:val="0"/>
                <w:sz w:val="22"/>
                <w:lang w:val="en-US" w:eastAsia="zh-CN"/>
              </w:rPr>
              <w:t>2016年</w:t>
            </w:r>
          </w:p>
        </w:tc>
        <w:tc>
          <w:tcPr>
            <w:tcW w:w="989" w:type="dxa"/>
            <w:vAlign w:val="center"/>
          </w:tcPr>
          <w:p>
            <w:pPr>
              <w:widowControl/>
              <w:jc w:val="center"/>
              <w:rPr>
                <w:rFonts w:ascii="宋体" w:hAnsi="宋体" w:eastAsia="宋体" w:cs="宋体"/>
                <w:b/>
                <w:bCs/>
                <w:color w:val="000000"/>
                <w:kern w:val="0"/>
                <w:sz w:val="22"/>
              </w:rPr>
            </w:pPr>
            <w:r>
              <w:rPr>
                <w:rFonts w:hint="eastAsia" w:ascii="宋体" w:hAnsi="宋体" w:cs="宋体"/>
                <w:b/>
                <w:bCs/>
                <w:color w:val="000000"/>
                <w:kern w:val="0"/>
                <w:sz w:val="22"/>
                <w:lang w:val="en-US" w:eastAsia="zh-CN"/>
              </w:rPr>
              <w:t>2017年</w:t>
            </w:r>
          </w:p>
        </w:tc>
        <w:tc>
          <w:tcPr>
            <w:tcW w:w="989" w:type="dxa"/>
            <w:vAlign w:val="center"/>
          </w:tcPr>
          <w:p>
            <w:pPr>
              <w:widowControl/>
              <w:jc w:val="center"/>
              <w:rPr>
                <w:rFonts w:ascii="宋体" w:hAnsi="宋体" w:eastAsia="宋体" w:cs="宋体"/>
                <w:b/>
                <w:bCs/>
                <w:color w:val="000000"/>
                <w:kern w:val="0"/>
                <w:sz w:val="22"/>
              </w:rPr>
            </w:pPr>
            <w:r>
              <w:rPr>
                <w:rFonts w:hint="eastAsia" w:ascii="宋体" w:hAnsi="宋体" w:cs="宋体"/>
                <w:b/>
                <w:bCs/>
                <w:color w:val="000000"/>
                <w:kern w:val="0"/>
                <w:sz w:val="22"/>
                <w:lang w:val="en-US" w:eastAsia="zh-CN"/>
              </w:rPr>
              <w:t>2018</w:t>
            </w:r>
            <w:bookmarkStart w:id="24" w:name="_GoBack"/>
            <w:bookmarkEnd w:id="24"/>
            <w:r>
              <w:rPr>
                <w:rFonts w:hint="eastAsia" w:ascii="宋体" w:hAnsi="宋体" w:cs="宋体"/>
                <w:b/>
                <w:bCs/>
                <w:color w:val="000000"/>
                <w:kern w:val="0"/>
                <w:sz w:val="22"/>
                <w:lang w:val="en-US" w:eastAsia="zh-CN"/>
              </w:rPr>
              <w:t>年</w:t>
            </w:r>
          </w:p>
        </w:tc>
        <w:tc>
          <w:tcPr>
            <w:tcW w:w="986" w:type="dxa"/>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40" w:hRule="atLeast"/>
        </w:trPr>
        <w:tc>
          <w:tcPr>
            <w:tcW w:w="1136" w:type="dxa"/>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RW-1</w:t>
            </w:r>
          </w:p>
        </w:tc>
        <w:tc>
          <w:tcPr>
            <w:tcW w:w="6683" w:type="dxa"/>
            <w:vAlign w:val="center"/>
          </w:tcPr>
          <w:p>
            <w:pPr>
              <w:widowControl/>
              <w:rPr>
                <w:rFonts w:ascii="宋体" w:hAnsi="宋体" w:eastAsia="宋体" w:cs="宋体"/>
                <w:color w:val="000000"/>
                <w:kern w:val="0"/>
                <w:sz w:val="22"/>
              </w:rPr>
            </w:pPr>
            <w:r>
              <w:rPr>
                <w:rFonts w:hint="eastAsia" w:ascii="宋体" w:hAnsi="宋体" w:eastAsia="宋体" w:cs="宋体"/>
                <w:color w:val="000000"/>
                <w:kern w:val="0"/>
                <w:sz w:val="22"/>
              </w:rPr>
              <w:t>加强与信誉良好的国际组织、跨国企业以及职业教育发达国家开展交流与合作</w:t>
            </w:r>
          </w:p>
        </w:tc>
        <w:tc>
          <w:tcPr>
            <w:tcW w:w="1301"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教务部</w:t>
            </w:r>
          </w:p>
        </w:tc>
        <w:tc>
          <w:tcPr>
            <w:tcW w:w="899"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苑蕾</w:t>
            </w:r>
          </w:p>
        </w:tc>
        <w:tc>
          <w:tcPr>
            <w:tcW w:w="1191" w:type="dxa"/>
            <w:textDirection w:val="lrTb"/>
            <w:vAlign w:val="top"/>
          </w:tcPr>
          <w:p>
            <w:pPr>
              <w:jc w:val="right"/>
              <w:rPr>
                <w:rFonts w:ascii="宋体" w:hAnsi="宋体" w:eastAsia="宋体" w:cs="宋体"/>
                <w:color w:val="000000"/>
                <w:kern w:val="0"/>
                <w:szCs w:val="21"/>
              </w:rPr>
            </w:pPr>
            <w:r>
              <w:rPr>
                <w:rFonts w:ascii="宋体" w:cs="Times New Roman"/>
              </w:rPr>
              <w:fldChar w:fldCharType="begin"/>
            </w:r>
            <w:r>
              <w:rPr>
                <w:rFonts w:ascii="宋体" w:cs="Times New Roman"/>
              </w:rPr>
              <w:instrText xml:space="preserve"> =SUM(ABOVE) </w:instrText>
            </w:r>
            <w:r>
              <w:rPr>
                <w:rFonts w:ascii="宋体" w:cs="Times New Roman"/>
              </w:rPr>
              <w:fldChar w:fldCharType="separate"/>
            </w:r>
            <w:r>
              <w:rPr>
                <w:rFonts w:ascii="宋体" w:cs="Times New Roman"/>
              </w:rPr>
              <w:t>3</w:t>
            </w:r>
            <w:r>
              <w:rPr>
                <w:rFonts w:ascii="宋体" w:cs="Times New Roman"/>
              </w:rPr>
              <w:fldChar w:fldCharType="end"/>
            </w:r>
          </w:p>
        </w:tc>
        <w:tc>
          <w:tcPr>
            <w:tcW w:w="989" w:type="dxa"/>
            <w:textDirection w:val="lrTb"/>
            <w:vAlign w:val="top"/>
          </w:tcPr>
          <w:p>
            <w:pPr>
              <w:jc w:val="right"/>
              <w:rPr>
                <w:rFonts w:ascii="宋体" w:hAnsi="宋体" w:eastAsia="宋体" w:cs="宋体"/>
                <w:color w:val="000000"/>
                <w:kern w:val="0"/>
                <w:szCs w:val="21"/>
              </w:rPr>
            </w:pPr>
            <w:r>
              <w:rPr>
                <w:rFonts w:ascii="宋体" w:cs="Times New Roman"/>
              </w:rPr>
              <w:fldChar w:fldCharType="begin"/>
            </w:r>
            <w:r>
              <w:rPr>
                <w:rFonts w:ascii="宋体" w:cs="Times New Roman"/>
              </w:rPr>
              <w:instrText xml:space="preserve"> =SUM(ABOVE) \* MERGEFORMAT </w:instrText>
            </w:r>
            <w:r>
              <w:rPr>
                <w:rFonts w:ascii="宋体" w:cs="Times New Roman"/>
              </w:rPr>
              <w:fldChar w:fldCharType="separate"/>
            </w:r>
            <w:r>
              <w:rPr>
                <w:rFonts w:ascii="宋体" w:cs="Times New Roman"/>
              </w:rPr>
              <w:t>37</w:t>
            </w:r>
            <w:r>
              <w:rPr>
                <w:rFonts w:ascii="宋体" w:cs="Times New Roman"/>
              </w:rPr>
              <w:fldChar w:fldCharType="end"/>
            </w:r>
          </w:p>
        </w:tc>
        <w:tc>
          <w:tcPr>
            <w:tcW w:w="989" w:type="dxa"/>
            <w:textDirection w:val="lrTb"/>
            <w:vAlign w:val="top"/>
          </w:tcPr>
          <w:p>
            <w:pPr>
              <w:jc w:val="right"/>
              <w:rPr>
                <w:rFonts w:ascii="宋体" w:hAnsi="宋体" w:eastAsia="宋体" w:cs="宋体"/>
                <w:color w:val="000000"/>
                <w:kern w:val="0"/>
                <w:szCs w:val="21"/>
              </w:rPr>
            </w:pPr>
            <w:r>
              <w:rPr>
                <w:rFonts w:ascii="宋体" w:cs="Times New Roman"/>
              </w:rPr>
              <w:fldChar w:fldCharType="begin"/>
            </w:r>
            <w:r>
              <w:rPr>
                <w:rFonts w:ascii="宋体" w:cs="Times New Roman"/>
              </w:rPr>
              <w:instrText xml:space="preserve"> =SUM(ABOVE) \* MERGEFORMAT </w:instrText>
            </w:r>
            <w:r>
              <w:rPr>
                <w:rFonts w:ascii="宋体" w:cs="Times New Roman"/>
              </w:rPr>
              <w:fldChar w:fldCharType="separate"/>
            </w:r>
            <w:r>
              <w:rPr>
                <w:rFonts w:ascii="宋体" w:cs="Times New Roman"/>
              </w:rPr>
              <w:t>37</w:t>
            </w:r>
            <w:r>
              <w:rPr>
                <w:rFonts w:ascii="宋体" w:cs="Times New Roman"/>
              </w:rPr>
              <w:fldChar w:fldCharType="end"/>
            </w:r>
          </w:p>
        </w:tc>
        <w:tc>
          <w:tcPr>
            <w:tcW w:w="986" w:type="dxa"/>
            <w:textDirection w:val="lrTb"/>
            <w:vAlign w:val="top"/>
          </w:tcPr>
          <w:p>
            <w:pPr>
              <w:jc w:val="right"/>
              <w:rPr>
                <w:rFonts w:ascii="宋体" w:hAnsi="宋体" w:eastAsia="宋体" w:cs="宋体"/>
                <w:color w:val="000000"/>
                <w:kern w:val="0"/>
                <w:szCs w:val="21"/>
              </w:rPr>
            </w:pPr>
            <w:r>
              <w:rPr>
                <w:rFonts w:ascii="宋体" w:cs="Times New Roman"/>
              </w:rPr>
              <w:fldChar w:fldCharType="begin"/>
            </w:r>
            <w:r>
              <w:rPr>
                <w:rFonts w:ascii="宋体" w:cs="Times New Roman"/>
              </w:rPr>
              <w:instrText xml:space="preserve"> =SUM(ABOVE) \* MERGEFORMAT </w:instrText>
            </w:r>
            <w:r>
              <w:rPr>
                <w:rFonts w:ascii="宋体" w:cs="Times New Roman"/>
              </w:rPr>
              <w:fldChar w:fldCharType="separate"/>
            </w:r>
            <w:r>
              <w:rPr>
                <w:rFonts w:ascii="宋体" w:cs="Times New Roman"/>
              </w:rPr>
              <w:t>77</w:t>
            </w:r>
            <w:r>
              <w:rPr>
                <w:rFonts w:ascii="宋体" w:cs="Times New Roma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40" w:hRule="atLeast"/>
        </w:trPr>
        <w:tc>
          <w:tcPr>
            <w:tcW w:w="1136" w:type="dxa"/>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RW-2</w:t>
            </w:r>
          </w:p>
        </w:tc>
        <w:tc>
          <w:tcPr>
            <w:tcW w:w="6683" w:type="dxa"/>
            <w:vAlign w:val="center"/>
          </w:tcPr>
          <w:p>
            <w:pPr>
              <w:widowControl/>
              <w:rPr>
                <w:rFonts w:ascii="宋体" w:hAnsi="宋体" w:eastAsia="宋体" w:cs="宋体"/>
                <w:color w:val="000000"/>
                <w:kern w:val="0"/>
                <w:sz w:val="22"/>
              </w:rPr>
            </w:pPr>
            <w:r>
              <w:rPr>
                <w:rFonts w:hint="eastAsia" w:ascii="宋体" w:hAnsi="宋体" w:eastAsia="宋体" w:cs="宋体"/>
                <w:color w:val="000000"/>
                <w:kern w:val="0"/>
                <w:sz w:val="22"/>
              </w:rPr>
              <w:t>学习和引进国际先进成熟适用的职业标准、专业课程、教材体系和数字化教育资源</w:t>
            </w:r>
          </w:p>
        </w:tc>
        <w:tc>
          <w:tcPr>
            <w:tcW w:w="1301"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教务部</w:t>
            </w:r>
          </w:p>
        </w:tc>
        <w:tc>
          <w:tcPr>
            <w:tcW w:w="899"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苑蕾</w:t>
            </w:r>
          </w:p>
        </w:tc>
        <w:tc>
          <w:tcPr>
            <w:tcW w:w="1191" w:type="dxa"/>
            <w:textDirection w:val="lrTb"/>
            <w:vAlign w:val="top"/>
          </w:tcPr>
          <w:p>
            <w:pPr>
              <w:jc w:val="right"/>
              <w:rPr>
                <w:rFonts w:ascii="宋体" w:hAnsi="宋体" w:eastAsia="宋体" w:cs="宋体"/>
                <w:color w:val="000000"/>
                <w:kern w:val="0"/>
                <w:szCs w:val="21"/>
              </w:rPr>
            </w:pPr>
            <w:r>
              <w:rPr>
                <w:rFonts w:ascii="宋体" w:cs="Times New Roman"/>
              </w:rPr>
              <w:fldChar w:fldCharType="begin"/>
            </w:r>
            <w:r>
              <w:rPr>
                <w:rFonts w:ascii="宋体" w:cs="Times New Roman"/>
              </w:rPr>
              <w:instrText xml:space="preserve"> =SUM(ABOVE) </w:instrText>
            </w:r>
            <w:r>
              <w:rPr>
                <w:rFonts w:ascii="宋体" w:cs="Times New Roman"/>
              </w:rPr>
              <w:fldChar w:fldCharType="separate"/>
            </w:r>
            <w:r>
              <w:rPr>
                <w:rFonts w:ascii="宋体" w:cs="Times New Roman"/>
              </w:rPr>
              <w:t>5.5</w:t>
            </w:r>
            <w:r>
              <w:rPr>
                <w:rFonts w:ascii="宋体" w:cs="Times New Roman"/>
              </w:rPr>
              <w:fldChar w:fldCharType="end"/>
            </w:r>
          </w:p>
        </w:tc>
        <w:tc>
          <w:tcPr>
            <w:tcW w:w="989" w:type="dxa"/>
            <w:textDirection w:val="lrTb"/>
            <w:vAlign w:val="top"/>
          </w:tcPr>
          <w:p>
            <w:pPr>
              <w:jc w:val="right"/>
              <w:rPr>
                <w:rFonts w:ascii="宋体" w:hAnsi="宋体" w:eastAsia="宋体" w:cs="宋体"/>
                <w:color w:val="000000"/>
                <w:kern w:val="0"/>
                <w:szCs w:val="21"/>
              </w:rPr>
            </w:pPr>
            <w:r>
              <w:rPr>
                <w:rFonts w:ascii="宋体" w:cs="Times New Roman"/>
              </w:rPr>
              <w:fldChar w:fldCharType="begin"/>
            </w:r>
            <w:r>
              <w:rPr>
                <w:rFonts w:ascii="宋体" w:cs="Times New Roman"/>
              </w:rPr>
              <w:instrText xml:space="preserve"> =SUM(ABOVE) \* MERGEFORMAT </w:instrText>
            </w:r>
            <w:r>
              <w:rPr>
                <w:rFonts w:ascii="宋体" w:cs="Times New Roman"/>
              </w:rPr>
              <w:fldChar w:fldCharType="separate"/>
            </w:r>
            <w:r>
              <w:rPr>
                <w:rFonts w:ascii="宋体" w:cs="Times New Roman"/>
              </w:rPr>
              <w:t>30.5</w:t>
            </w:r>
            <w:r>
              <w:rPr>
                <w:rFonts w:ascii="宋体" w:cs="Times New Roman"/>
              </w:rPr>
              <w:fldChar w:fldCharType="end"/>
            </w:r>
          </w:p>
        </w:tc>
        <w:tc>
          <w:tcPr>
            <w:tcW w:w="989" w:type="dxa"/>
            <w:textDirection w:val="lrTb"/>
            <w:vAlign w:val="top"/>
          </w:tcPr>
          <w:p>
            <w:pPr>
              <w:jc w:val="right"/>
              <w:rPr>
                <w:rFonts w:ascii="宋体" w:hAnsi="宋体" w:eastAsia="宋体" w:cs="宋体"/>
                <w:color w:val="000000"/>
                <w:kern w:val="0"/>
                <w:szCs w:val="21"/>
              </w:rPr>
            </w:pPr>
            <w:r>
              <w:rPr>
                <w:rFonts w:ascii="宋体" w:cs="Times New Roman"/>
              </w:rPr>
              <w:fldChar w:fldCharType="begin"/>
            </w:r>
            <w:r>
              <w:rPr>
                <w:rFonts w:ascii="宋体" w:cs="Times New Roman"/>
              </w:rPr>
              <w:instrText xml:space="preserve"> =SUM(ABOVE) \* MERGEFORMAT </w:instrText>
            </w:r>
            <w:r>
              <w:rPr>
                <w:rFonts w:ascii="宋体" w:cs="Times New Roman"/>
              </w:rPr>
              <w:fldChar w:fldCharType="separate"/>
            </w:r>
            <w:r>
              <w:rPr>
                <w:rFonts w:ascii="宋体" w:cs="Times New Roman"/>
              </w:rPr>
              <w:t>30</w:t>
            </w:r>
            <w:r>
              <w:rPr>
                <w:rFonts w:ascii="宋体" w:cs="Times New Roman"/>
              </w:rPr>
              <w:fldChar w:fldCharType="end"/>
            </w:r>
          </w:p>
        </w:tc>
        <w:tc>
          <w:tcPr>
            <w:tcW w:w="986" w:type="dxa"/>
            <w:textDirection w:val="lrTb"/>
            <w:vAlign w:val="top"/>
          </w:tcPr>
          <w:p>
            <w:pPr>
              <w:jc w:val="right"/>
              <w:rPr>
                <w:rFonts w:ascii="宋体" w:hAnsi="宋体" w:eastAsia="宋体" w:cs="宋体"/>
                <w:color w:val="000000"/>
                <w:kern w:val="0"/>
                <w:szCs w:val="21"/>
              </w:rPr>
            </w:pPr>
            <w:r>
              <w:rPr>
                <w:rFonts w:ascii="宋体" w:cs="Times New Roman"/>
              </w:rPr>
              <w:fldChar w:fldCharType="begin"/>
            </w:r>
            <w:r>
              <w:rPr>
                <w:rFonts w:ascii="宋体" w:cs="Times New Roman"/>
              </w:rPr>
              <w:instrText xml:space="preserve"> =SUM(ABOVE) \* MERGEFORMAT </w:instrText>
            </w:r>
            <w:r>
              <w:rPr>
                <w:rFonts w:ascii="宋体" w:cs="Times New Roman"/>
              </w:rPr>
              <w:fldChar w:fldCharType="separate"/>
            </w:r>
            <w:r>
              <w:rPr>
                <w:rFonts w:ascii="宋体" w:cs="Times New Roman"/>
              </w:rPr>
              <w:t>66</w:t>
            </w:r>
            <w:r>
              <w:rPr>
                <w:rFonts w:ascii="宋体" w:cs="Times New Roma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40" w:hRule="atLeast"/>
        </w:trPr>
        <w:tc>
          <w:tcPr>
            <w:tcW w:w="1136" w:type="dxa"/>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RW-3</w:t>
            </w:r>
          </w:p>
        </w:tc>
        <w:tc>
          <w:tcPr>
            <w:tcW w:w="6683" w:type="dxa"/>
            <w:vAlign w:val="center"/>
          </w:tcPr>
          <w:p>
            <w:pPr>
              <w:widowControl/>
              <w:rPr>
                <w:rFonts w:ascii="宋体" w:hAnsi="宋体" w:eastAsia="宋体" w:cs="宋体"/>
                <w:color w:val="000000"/>
                <w:kern w:val="0"/>
                <w:sz w:val="22"/>
              </w:rPr>
            </w:pPr>
            <w:r>
              <w:rPr>
                <w:rFonts w:hint="eastAsia" w:ascii="宋体" w:hAnsi="宋体" w:eastAsia="宋体" w:cs="宋体"/>
                <w:color w:val="000000"/>
                <w:kern w:val="0"/>
                <w:sz w:val="22"/>
              </w:rPr>
              <w:t>选择类型相同、专业相近的国（境）外高水平院校联合开发课程，共建专业、实验室或实训基地，建立教师交流、学生交换、学分互认等合作关系</w:t>
            </w:r>
          </w:p>
        </w:tc>
        <w:tc>
          <w:tcPr>
            <w:tcW w:w="1301"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教务部</w:t>
            </w:r>
          </w:p>
        </w:tc>
        <w:tc>
          <w:tcPr>
            <w:tcW w:w="899"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苑蕾</w:t>
            </w:r>
          </w:p>
        </w:tc>
        <w:tc>
          <w:tcPr>
            <w:tcW w:w="1191" w:type="dxa"/>
            <w:textDirection w:val="lrTb"/>
            <w:vAlign w:val="top"/>
          </w:tcPr>
          <w:p>
            <w:pPr>
              <w:jc w:val="right"/>
              <w:rPr>
                <w:rFonts w:ascii="宋体" w:hAnsi="宋体" w:eastAsia="宋体" w:cs="宋体"/>
                <w:color w:val="000000"/>
                <w:kern w:val="0"/>
                <w:szCs w:val="21"/>
              </w:rPr>
            </w:pPr>
            <w:r>
              <w:rPr>
                <w:rFonts w:ascii="宋体" w:cs="Times New Roman"/>
              </w:rPr>
              <w:fldChar w:fldCharType="begin"/>
            </w:r>
            <w:r>
              <w:rPr>
                <w:rFonts w:ascii="宋体" w:cs="Times New Roman"/>
              </w:rPr>
              <w:instrText xml:space="preserve"> =SUM(ABOVE) </w:instrText>
            </w:r>
            <w:r>
              <w:rPr>
                <w:rFonts w:ascii="宋体" w:cs="Times New Roman"/>
              </w:rPr>
              <w:fldChar w:fldCharType="separate"/>
            </w:r>
            <w:r>
              <w:rPr>
                <w:rFonts w:ascii="宋体" w:cs="Times New Roman"/>
              </w:rPr>
              <w:t>2</w:t>
            </w:r>
            <w:r>
              <w:rPr>
                <w:rFonts w:ascii="宋体" w:cs="Times New Roman"/>
              </w:rPr>
              <w:fldChar w:fldCharType="end"/>
            </w:r>
          </w:p>
        </w:tc>
        <w:tc>
          <w:tcPr>
            <w:tcW w:w="989" w:type="dxa"/>
            <w:textDirection w:val="lrTb"/>
            <w:vAlign w:val="top"/>
          </w:tcPr>
          <w:p>
            <w:pPr>
              <w:jc w:val="right"/>
              <w:rPr>
                <w:rFonts w:ascii="宋体" w:hAnsi="宋体" w:eastAsia="宋体" w:cs="宋体"/>
                <w:color w:val="000000"/>
                <w:kern w:val="0"/>
                <w:szCs w:val="21"/>
              </w:rPr>
            </w:pPr>
            <w:r>
              <w:rPr>
                <w:rFonts w:ascii="宋体" w:cs="Times New Roman"/>
              </w:rPr>
              <w:fldChar w:fldCharType="begin"/>
            </w:r>
            <w:r>
              <w:rPr>
                <w:rFonts w:ascii="宋体" w:cs="Times New Roman"/>
              </w:rPr>
              <w:instrText xml:space="preserve"> =SUM(ABOVE) \* MERGEFORMAT </w:instrText>
            </w:r>
            <w:r>
              <w:rPr>
                <w:rFonts w:ascii="宋体" w:cs="Times New Roman"/>
              </w:rPr>
              <w:fldChar w:fldCharType="separate"/>
            </w:r>
            <w:r>
              <w:rPr>
                <w:rFonts w:ascii="宋体" w:cs="Times New Roman"/>
              </w:rPr>
              <w:t>48</w:t>
            </w:r>
            <w:r>
              <w:rPr>
                <w:rFonts w:ascii="宋体" w:cs="Times New Roman"/>
              </w:rPr>
              <w:fldChar w:fldCharType="end"/>
            </w:r>
          </w:p>
        </w:tc>
        <w:tc>
          <w:tcPr>
            <w:tcW w:w="989" w:type="dxa"/>
            <w:textDirection w:val="lrTb"/>
            <w:vAlign w:val="top"/>
          </w:tcPr>
          <w:p>
            <w:pPr>
              <w:jc w:val="right"/>
              <w:rPr>
                <w:rFonts w:ascii="宋体" w:hAnsi="宋体" w:eastAsia="宋体" w:cs="宋体"/>
                <w:color w:val="000000"/>
                <w:kern w:val="0"/>
                <w:szCs w:val="21"/>
              </w:rPr>
            </w:pPr>
            <w:r>
              <w:rPr>
                <w:rFonts w:ascii="宋体" w:cs="Times New Roman"/>
              </w:rPr>
              <w:fldChar w:fldCharType="begin"/>
            </w:r>
            <w:r>
              <w:rPr>
                <w:rFonts w:ascii="宋体" w:cs="Times New Roman"/>
              </w:rPr>
              <w:instrText xml:space="preserve"> =SUM(ABOVE) \* MERGEFORMAT </w:instrText>
            </w:r>
            <w:r>
              <w:rPr>
                <w:rFonts w:ascii="宋体" w:cs="Times New Roman"/>
              </w:rPr>
              <w:fldChar w:fldCharType="separate"/>
            </w:r>
            <w:r>
              <w:rPr>
                <w:rFonts w:ascii="宋体" w:cs="Times New Roman"/>
              </w:rPr>
              <w:t>48</w:t>
            </w:r>
            <w:r>
              <w:rPr>
                <w:rFonts w:ascii="宋体" w:cs="Times New Roman"/>
              </w:rPr>
              <w:fldChar w:fldCharType="end"/>
            </w:r>
          </w:p>
        </w:tc>
        <w:tc>
          <w:tcPr>
            <w:tcW w:w="986" w:type="dxa"/>
            <w:textDirection w:val="lrTb"/>
            <w:vAlign w:val="top"/>
          </w:tcPr>
          <w:p>
            <w:pPr>
              <w:jc w:val="right"/>
              <w:rPr>
                <w:rFonts w:ascii="宋体" w:hAnsi="宋体" w:eastAsia="宋体" w:cs="宋体"/>
                <w:color w:val="000000"/>
                <w:kern w:val="0"/>
                <w:szCs w:val="21"/>
              </w:rPr>
            </w:pPr>
            <w:r>
              <w:rPr>
                <w:rFonts w:ascii="宋体" w:cs="Times New Roman"/>
              </w:rPr>
              <w:fldChar w:fldCharType="begin"/>
            </w:r>
            <w:r>
              <w:rPr>
                <w:rFonts w:ascii="宋体" w:cs="Times New Roman"/>
              </w:rPr>
              <w:instrText xml:space="preserve"> =SUM(ABOVE) \* MERGEFORMAT </w:instrText>
            </w:r>
            <w:r>
              <w:rPr>
                <w:rFonts w:ascii="宋体" w:cs="Times New Roman"/>
              </w:rPr>
              <w:fldChar w:fldCharType="separate"/>
            </w:r>
            <w:r>
              <w:rPr>
                <w:rFonts w:ascii="宋体" w:cs="Times New Roman"/>
              </w:rPr>
              <w:t>98</w:t>
            </w:r>
            <w:r>
              <w:rPr>
                <w:rFonts w:ascii="宋体" w:cs="Times New Roma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00" w:hRule="atLeast"/>
        </w:trPr>
        <w:tc>
          <w:tcPr>
            <w:tcW w:w="1136" w:type="dxa"/>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RW-5</w:t>
            </w:r>
          </w:p>
        </w:tc>
        <w:tc>
          <w:tcPr>
            <w:tcW w:w="6683" w:type="dxa"/>
            <w:vAlign w:val="center"/>
          </w:tcPr>
          <w:p>
            <w:pPr>
              <w:widowControl/>
              <w:rPr>
                <w:rFonts w:ascii="宋体" w:hAnsi="宋体" w:eastAsia="宋体" w:cs="宋体"/>
                <w:color w:val="000000"/>
                <w:kern w:val="0"/>
                <w:sz w:val="22"/>
              </w:rPr>
            </w:pPr>
            <w:r>
              <w:rPr>
                <w:rFonts w:hint="eastAsia" w:ascii="宋体" w:hAnsi="宋体" w:eastAsia="宋体" w:cs="宋体"/>
                <w:color w:val="000000"/>
                <w:kern w:val="0"/>
                <w:sz w:val="22"/>
              </w:rPr>
              <w:t>举办高水平中外合作办学项目和机构</w:t>
            </w:r>
          </w:p>
        </w:tc>
        <w:tc>
          <w:tcPr>
            <w:tcW w:w="1301"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教务部</w:t>
            </w:r>
          </w:p>
        </w:tc>
        <w:tc>
          <w:tcPr>
            <w:tcW w:w="899"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苑蕾</w:t>
            </w:r>
          </w:p>
        </w:tc>
        <w:tc>
          <w:tcPr>
            <w:tcW w:w="1191" w:type="dxa"/>
            <w:textDirection w:val="lrTb"/>
            <w:vAlign w:val="top"/>
          </w:tcPr>
          <w:p>
            <w:pPr>
              <w:jc w:val="right"/>
              <w:rPr>
                <w:rFonts w:ascii="宋体" w:hAnsi="宋体" w:eastAsia="宋体" w:cs="宋体"/>
                <w:color w:val="000000"/>
                <w:kern w:val="0"/>
                <w:szCs w:val="21"/>
              </w:rPr>
            </w:pPr>
            <w:r>
              <w:rPr>
                <w:rFonts w:hint="eastAsia" w:ascii="宋体" w:cs="Times New Roman"/>
                <w:bCs/>
                <w:lang w:val="en-US" w:eastAsia="zh-CN"/>
              </w:rPr>
              <w:t>1</w:t>
            </w:r>
          </w:p>
        </w:tc>
        <w:tc>
          <w:tcPr>
            <w:tcW w:w="989" w:type="dxa"/>
            <w:textDirection w:val="lrTb"/>
            <w:vAlign w:val="top"/>
          </w:tcPr>
          <w:p>
            <w:pPr>
              <w:jc w:val="right"/>
              <w:rPr>
                <w:rFonts w:ascii="宋体" w:hAnsi="宋体" w:eastAsia="宋体" w:cs="宋体"/>
                <w:color w:val="000000"/>
                <w:kern w:val="0"/>
                <w:szCs w:val="21"/>
              </w:rPr>
            </w:pPr>
            <w:r>
              <w:rPr>
                <w:rFonts w:hint="eastAsia" w:ascii="宋体" w:cs="Times New Roman"/>
                <w:bCs/>
                <w:lang w:val="en-US" w:eastAsia="zh-CN"/>
              </w:rPr>
              <w:t>27</w:t>
            </w:r>
          </w:p>
        </w:tc>
        <w:tc>
          <w:tcPr>
            <w:tcW w:w="989" w:type="dxa"/>
            <w:textDirection w:val="lrTb"/>
            <w:vAlign w:val="top"/>
          </w:tcPr>
          <w:p>
            <w:pPr>
              <w:jc w:val="right"/>
              <w:rPr>
                <w:rFonts w:ascii="宋体" w:hAnsi="宋体" w:eastAsia="宋体" w:cs="宋体"/>
                <w:color w:val="000000"/>
                <w:kern w:val="0"/>
                <w:szCs w:val="21"/>
              </w:rPr>
            </w:pPr>
            <w:r>
              <w:rPr>
                <w:rFonts w:hint="eastAsia" w:ascii="宋体" w:cs="Times New Roman"/>
                <w:bCs/>
                <w:lang w:val="en-US" w:eastAsia="zh-CN"/>
              </w:rPr>
              <w:t>27</w:t>
            </w:r>
          </w:p>
        </w:tc>
        <w:tc>
          <w:tcPr>
            <w:tcW w:w="986" w:type="dxa"/>
            <w:textDirection w:val="lrTb"/>
            <w:vAlign w:val="top"/>
          </w:tcPr>
          <w:p>
            <w:pPr>
              <w:jc w:val="right"/>
              <w:rPr>
                <w:rFonts w:ascii="宋体" w:hAnsi="宋体" w:eastAsia="宋体" w:cs="宋体"/>
                <w:color w:val="000000"/>
                <w:kern w:val="0"/>
                <w:szCs w:val="21"/>
              </w:rPr>
            </w:pPr>
            <w:r>
              <w:rPr>
                <w:rFonts w:hint="eastAsia" w:ascii="宋体" w:cs="Times New Roman"/>
                <w:bCs/>
                <w:lang w:eastAsia="zh-CN"/>
              </w:rPr>
              <w:fldChar w:fldCharType="begin"/>
            </w:r>
            <w:r>
              <w:rPr>
                <w:rFonts w:hint="eastAsia" w:ascii="宋体" w:cs="Times New Roman"/>
                <w:bCs/>
                <w:lang w:eastAsia="zh-CN"/>
              </w:rPr>
              <w:instrText xml:space="preserve"> =SUM(ABOVE) \* MERGEFORMAT </w:instrText>
            </w:r>
            <w:r>
              <w:rPr>
                <w:rFonts w:hint="eastAsia" w:ascii="宋体" w:cs="Times New Roman"/>
                <w:bCs/>
                <w:lang w:eastAsia="zh-CN"/>
              </w:rPr>
              <w:fldChar w:fldCharType="separate"/>
            </w:r>
            <w:r>
              <w:rPr>
                <w:rFonts w:hint="eastAsia" w:ascii="宋体" w:cs="Times New Roman"/>
                <w:bCs/>
                <w:lang w:eastAsia="zh-CN"/>
              </w:rPr>
              <w:t>55</w:t>
            </w:r>
            <w:r>
              <w:rPr>
                <w:rFonts w:hint="eastAsia" w:ascii="宋体" w:cs="Times New Roman"/>
                <w:bCs/>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70" w:hRule="atLeast"/>
        </w:trPr>
        <w:tc>
          <w:tcPr>
            <w:tcW w:w="1136" w:type="dxa"/>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RW-6</w:t>
            </w:r>
          </w:p>
        </w:tc>
        <w:tc>
          <w:tcPr>
            <w:tcW w:w="6683" w:type="dxa"/>
            <w:vAlign w:val="center"/>
          </w:tcPr>
          <w:p>
            <w:pPr>
              <w:widowControl/>
              <w:rPr>
                <w:rFonts w:ascii="宋体" w:hAnsi="宋体" w:eastAsia="宋体" w:cs="宋体"/>
                <w:color w:val="000000"/>
                <w:kern w:val="0"/>
                <w:sz w:val="22"/>
              </w:rPr>
            </w:pPr>
            <w:r>
              <w:rPr>
                <w:rFonts w:hint="eastAsia" w:ascii="宋体" w:hAnsi="宋体" w:eastAsia="宋体" w:cs="宋体"/>
                <w:color w:val="000000"/>
                <w:kern w:val="0"/>
                <w:sz w:val="22"/>
              </w:rPr>
              <w:t>完善以老带新的青年教师培养机制；建立教师轮训制度；专业教师每五年企业实践时间累计不少于</w:t>
            </w:r>
            <w:r>
              <w:rPr>
                <w:rFonts w:ascii="Times New Roman" w:hAnsi="Times New Roman" w:eastAsia="宋体" w:cs="Times New Roman"/>
                <w:color w:val="000000"/>
                <w:kern w:val="0"/>
                <w:sz w:val="22"/>
              </w:rPr>
              <w:t>6</w:t>
            </w:r>
            <w:r>
              <w:rPr>
                <w:rFonts w:hint="eastAsia" w:ascii="宋体" w:hAnsi="宋体" w:eastAsia="宋体" w:cs="宋体"/>
                <w:color w:val="000000"/>
                <w:kern w:val="0"/>
                <w:sz w:val="22"/>
              </w:rPr>
              <w:t>个月</w:t>
            </w:r>
          </w:p>
        </w:tc>
        <w:tc>
          <w:tcPr>
            <w:tcW w:w="1301"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人资部</w:t>
            </w:r>
          </w:p>
        </w:tc>
        <w:tc>
          <w:tcPr>
            <w:tcW w:w="899"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王杰</w:t>
            </w:r>
          </w:p>
        </w:tc>
        <w:tc>
          <w:tcPr>
            <w:tcW w:w="1191" w:type="dxa"/>
            <w:textDirection w:val="lrTb"/>
            <w:vAlign w:val="top"/>
          </w:tcPr>
          <w:p>
            <w:pPr>
              <w:jc w:val="right"/>
              <w:rPr>
                <w:rFonts w:ascii="宋体" w:hAnsi="宋体" w:eastAsia="宋体" w:cs="宋体"/>
                <w:color w:val="000000"/>
                <w:kern w:val="0"/>
                <w:szCs w:val="21"/>
              </w:rPr>
            </w:pPr>
            <w:r>
              <w:rPr>
                <w:rFonts w:hint="eastAsia" w:ascii="宋体" w:cs="Times New Roman"/>
              </w:rPr>
              <w:fldChar w:fldCharType="begin"/>
            </w:r>
            <w:r>
              <w:rPr>
                <w:rFonts w:hint="eastAsia" w:ascii="宋体" w:cs="Times New Roman"/>
              </w:rPr>
              <w:instrText xml:space="preserve"> =SUM(ABOVE) \* MERGEFORMAT </w:instrText>
            </w:r>
            <w:r>
              <w:rPr>
                <w:rFonts w:hint="eastAsia" w:ascii="宋体" w:cs="Times New Roman"/>
              </w:rPr>
              <w:fldChar w:fldCharType="separate"/>
            </w:r>
            <w:r>
              <w:rPr>
                <w:rFonts w:hint="eastAsia" w:ascii="宋体" w:cs="Times New Roman"/>
              </w:rPr>
              <w:t>32</w:t>
            </w:r>
            <w:r>
              <w:rPr>
                <w:rFonts w:hint="eastAsia" w:ascii="宋体" w:cs="Times New Roman"/>
              </w:rPr>
              <w:fldChar w:fldCharType="end"/>
            </w:r>
          </w:p>
        </w:tc>
        <w:tc>
          <w:tcPr>
            <w:tcW w:w="989" w:type="dxa"/>
            <w:textDirection w:val="lrTb"/>
            <w:vAlign w:val="top"/>
          </w:tcPr>
          <w:p>
            <w:pPr>
              <w:jc w:val="right"/>
              <w:rPr>
                <w:rFonts w:ascii="宋体" w:hAnsi="宋体" w:eastAsia="宋体" w:cs="宋体"/>
                <w:color w:val="000000"/>
                <w:kern w:val="0"/>
                <w:szCs w:val="21"/>
              </w:rPr>
            </w:pPr>
            <w:r>
              <w:rPr>
                <w:rFonts w:hint="eastAsia" w:ascii="宋体" w:cs="Times New Roman"/>
              </w:rPr>
              <w:fldChar w:fldCharType="begin"/>
            </w:r>
            <w:r>
              <w:rPr>
                <w:rFonts w:hint="eastAsia" w:ascii="宋体" w:cs="Times New Roman"/>
              </w:rPr>
              <w:instrText xml:space="preserve"> =SUM(ABOVE) \* MERGEFORMAT </w:instrText>
            </w:r>
            <w:r>
              <w:rPr>
                <w:rFonts w:hint="eastAsia" w:ascii="宋体" w:cs="Times New Roman"/>
              </w:rPr>
              <w:fldChar w:fldCharType="separate"/>
            </w:r>
            <w:r>
              <w:rPr>
                <w:rFonts w:hint="eastAsia" w:ascii="宋体" w:cs="Times New Roman"/>
              </w:rPr>
              <w:t>32</w:t>
            </w:r>
            <w:r>
              <w:rPr>
                <w:rFonts w:hint="eastAsia" w:ascii="宋体" w:cs="Times New Roman"/>
              </w:rPr>
              <w:fldChar w:fldCharType="end"/>
            </w:r>
          </w:p>
        </w:tc>
        <w:tc>
          <w:tcPr>
            <w:tcW w:w="989" w:type="dxa"/>
            <w:textDirection w:val="lrTb"/>
            <w:vAlign w:val="top"/>
          </w:tcPr>
          <w:p>
            <w:pPr>
              <w:jc w:val="right"/>
              <w:rPr>
                <w:rFonts w:ascii="宋体" w:hAnsi="宋体" w:eastAsia="宋体" w:cs="宋体"/>
                <w:color w:val="000000"/>
                <w:kern w:val="0"/>
                <w:szCs w:val="21"/>
              </w:rPr>
            </w:pPr>
            <w:r>
              <w:rPr>
                <w:rFonts w:hint="eastAsia" w:ascii="宋体" w:cs="Times New Roman"/>
              </w:rPr>
              <w:fldChar w:fldCharType="begin"/>
            </w:r>
            <w:r>
              <w:rPr>
                <w:rFonts w:hint="eastAsia" w:ascii="宋体" w:cs="Times New Roman"/>
              </w:rPr>
              <w:instrText xml:space="preserve"> =SUM(ABOVE) \* MERGEFORMAT </w:instrText>
            </w:r>
            <w:r>
              <w:rPr>
                <w:rFonts w:hint="eastAsia" w:ascii="宋体" w:cs="Times New Roman"/>
              </w:rPr>
              <w:fldChar w:fldCharType="separate"/>
            </w:r>
            <w:r>
              <w:rPr>
                <w:rFonts w:hint="eastAsia" w:ascii="宋体" w:cs="Times New Roman"/>
              </w:rPr>
              <w:t>32</w:t>
            </w:r>
            <w:r>
              <w:rPr>
                <w:rFonts w:hint="eastAsia" w:ascii="宋体" w:cs="Times New Roman"/>
              </w:rPr>
              <w:fldChar w:fldCharType="end"/>
            </w:r>
          </w:p>
        </w:tc>
        <w:tc>
          <w:tcPr>
            <w:tcW w:w="986" w:type="dxa"/>
            <w:textDirection w:val="lrTb"/>
            <w:vAlign w:val="top"/>
          </w:tcPr>
          <w:p>
            <w:pPr>
              <w:jc w:val="right"/>
              <w:rPr>
                <w:rFonts w:ascii="宋体" w:hAnsi="宋体" w:eastAsia="宋体" w:cs="宋体"/>
                <w:color w:val="000000"/>
                <w:kern w:val="0"/>
                <w:szCs w:val="21"/>
              </w:rPr>
            </w:pPr>
            <w:r>
              <w:rPr>
                <w:rFonts w:hint="eastAsia" w:ascii="宋体" w:cs="Times New Roman"/>
              </w:rPr>
              <w:fldChar w:fldCharType="begin"/>
            </w:r>
            <w:r>
              <w:rPr>
                <w:rFonts w:hint="eastAsia" w:ascii="宋体" w:cs="Times New Roman"/>
              </w:rPr>
              <w:instrText xml:space="preserve"> =SUM(ABOVE) \* MERGEFORMAT </w:instrText>
            </w:r>
            <w:r>
              <w:rPr>
                <w:rFonts w:hint="eastAsia" w:ascii="宋体" w:cs="Times New Roman"/>
              </w:rPr>
              <w:fldChar w:fldCharType="separate"/>
            </w:r>
            <w:r>
              <w:rPr>
                <w:rFonts w:hint="eastAsia" w:ascii="宋体" w:cs="Times New Roman"/>
              </w:rPr>
              <w:t>96</w:t>
            </w:r>
            <w:r>
              <w:rPr>
                <w:rFonts w:hint="eastAsia" w:ascii="宋体" w:cs="Times New Roma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00" w:hRule="atLeast"/>
        </w:trPr>
        <w:tc>
          <w:tcPr>
            <w:tcW w:w="1136" w:type="dxa"/>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RW-7</w:t>
            </w:r>
          </w:p>
        </w:tc>
        <w:tc>
          <w:tcPr>
            <w:tcW w:w="6683" w:type="dxa"/>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高等职业院校专业骨干教师国家级、省级培训计划</w:t>
            </w:r>
          </w:p>
        </w:tc>
        <w:tc>
          <w:tcPr>
            <w:tcW w:w="1301"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人资部</w:t>
            </w:r>
          </w:p>
        </w:tc>
        <w:tc>
          <w:tcPr>
            <w:tcW w:w="899"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王杰</w:t>
            </w:r>
          </w:p>
        </w:tc>
        <w:tc>
          <w:tcPr>
            <w:tcW w:w="1191" w:type="dxa"/>
            <w:textDirection w:val="lrTb"/>
            <w:vAlign w:val="top"/>
          </w:tcPr>
          <w:p>
            <w:pPr>
              <w:jc w:val="right"/>
              <w:rPr>
                <w:rFonts w:ascii="宋体" w:hAnsi="宋体" w:eastAsia="宋体" w:cs="宋体"/>
                <w:color w:val="000000"/>
                <w:kern w:val="0"/>
                <w:szCs w:val="21"/>
              </w:rPr>
            </w:pPr>
            <w:r>
              <w:rPr>
                <w:rFonts w:hint="eastAsia" w:ascii="宋体" w:cs="Times New Roman"/>
              </w:rPr>
              <w:t>5</w:t>
            </w:r>
          </w:p>
        </w:tc>
        <w:tc>
          <w:tcPr>
            <w:tcW w:w="989" w:type="dxa"/>
            <w:textDirection w:val="lrTb"/>
            <w:vAlign w:val="top"/>
          </w:tcPr>
          <w:p>
            <w:pPr>
              <w:jc w:val="right"/>
              <w:rPr>
                <w:rFonts w:ascii="宋体" w:hAnsi="宋体" w:eastAsia="宋体" w:cs="宋体"/>
                <w:color w:val="000000"/>
                <w:kern w:val="0"/>
                <w:szCs w:val="21"/>
              </w:rPr>
            </w:pPr>
            <w:r>
              <w:rPr>
                <w:rFonts w:hint="eastAsia" w:ascii="宋体" w:cs="Times New Roman"/>
                <w:lang w:val="en-US" w:eastAsia="zh-CN"/>
              </w:rPr>
              <w:t>35</w:t>
            </w:r>
          </w:p>
        </w:tc>
        <w:tc>
          <w:tcPr>
            <w:tcW w:w="989" w:type="dxa"/>
            <w:textDirection w:val="lrTb"/>
            <w:vAlign w:val="top"/>
          </w:tcPr>
          <w:p>
            <w:pPr>
              <w:jc w:val="right"/>
              <w:rPr>
                <w:rFonts w:ascii="宋体" w:hAnsi="宋体" w:eastAsia="宋体" w:cs="宋体"/>
                <w:color w:val="000000"/>
                <w:kern w:val="0"/>
                <w:szCs w:val="21"/>
              </w:rPr>
            </w:pPr>
            <w:r>
              <w:rPr>
                <w:rFonts w:hint="eastAsia" w:ascii="宋体" w:cs="Times New Roman"/>
                <w:lang w:val="en-US" w:eastAsia="zh-CN"/>
              </w:rPr>
              <w:t>35</w:t>
            </w:r>
          </w:p>
        </w:tc>
        <w:tc>
          <w:tcPr>
            <w:tcW w:w="986" w:type="dxa"/>
            <w:textDirection w:val="lrTb"/>
            <w:vAlign w:val="top"/>
          </w:tcPr>
          <w:p>
            <w:pPr>
              <w:jc w:val="right"/>
              <w:rPr>
                <w:rFonts w:ascii="宋体" w:hAnsi="宋体" w:eastAsia="宋体" w:cs="宋体"/>
                <w:color w:val="000000"/>
                <w:kern w:val="0"/>
                <w:szCs w:val="21"/>
              </w:rPr>
            </w:pPr>
            <w:r>
              <w:rPr>
                <w:rFonts w:hint="eastAsia" w:ascii="宋体" w:cs="Times New Roman"/>
                <w:lang w:val="en-US"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410" w:hRule="atLeast"/>
        </w:trPr>
        <w:tc>
          <w:tcPr>
            <w:tcW w:w="1136" w:type="dxa"/>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RW-9</w:t>
            </w:r>
          </w:p>
        </w:tc>
        <w:tc>
          <w:tcPr>
            <w:tcW w:w="6683" w:type="dxa"/>
            <w:vAlign w:val="center"/>
          </w:tcPr>
          <w:p>
            <w:pPr>
              <w:widowControl/>
              <w:rPr>
                <w:rFonts w:ascii="宋体" w:hAnsi="宋体" w:eastAsia="宋体" w:cs="宋体"/>
                <w:color w:val="000000"/>
                <w:kern w:val="0"/>
                <w:sz w:val="22"/>
              </w:rPr>
            </w:pPr>
            <w:r>
              <w:rPr>
                <w:rFonts w:hint="eastAsia" w:ascii="宋体" w:hAnsi="宋体" w:eastAsia="宋体" w:cs="宋体"/>
                <w:color w:val="000000"/>
                <w:kern w:val="0"/>
                <w:sz w:val="22"/>
              </w:rPr>
              <w:t>支持专科高等职业院校按照有关规定自主聘请兼职教师；加强兼职教师的职业教育教学规律与教学方法培训；支持兼职教师或合作企业牵头申报教学研究项目、组织实施教学改革；把指导学生顶岗实习的企业技术人员纳入兼职教师管理范围。核算教师总数时，兼职教师数按每学年授课</w:t>
            </w:r>
            <w:r>
              <w:rPr>
                <w:rFonts w:ascii="Times New Roman" w:hAnsi="Times New Roman" w:eastAsia="宋体" w:cs="Times New Roman"/>
                <w:color w:val="000000"/>
                <w:kern w:val="0"/>
                <w:sz w:val="22"/>
              </w:rPr>
              <w:t>160</w:t>
            </w:r>
            <w:r>
              <w:rPr>
                <w:rFonts w:hint="eastAsia" w:ascii="宋体" w:hAnsi="宋体" w:eastAsia="宋体" w:cs="宋体"/>
                <w:color w:val="000000"/>
                <w:kern w:val="0"/>
                <w:sz w:val="22"/>
              </w:rPr>
              <w:t>学时为</w:t>
            </w:r>
            <w:r>
              <w:rPr>
                <w:rFonts w:ascii="Times New Roman" w:hAnsi="Times New Roman" w:eastAsia="宋体" w:cs="Times New Roman"/>
                <w:color w:val="000000"/>
                <w:kern w:val="0"/>
                <w:sz w:val="22"/>
              </w:rPr>
              <w:t>1</w:t>
            </w:r>
            <w:r>
              <w:rPr>
                <w:rFonts w:hint="eastAsia" w:ascii="宋体" w:hAnsi="宋体" w:eastAsia="宋体" w:cs="宋体"/>
                <w:color w:val="000000"/>
                <w:kern w:val="0"/>
                <w:sz w:val="22"/>
              </w:rPr>
              <w:t>名教师计算。</w:t>
            </w:r>
          </w:p>
        </w:tc>
        <w:tc>
          <w:tcPr>
            <w:tcW w:w="1301"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人资部</w:t>
            </w:r>
          </w:p>
        </w:tc>
        <w:tc>
          <w:tcPr>
            <w:tcW w:w="899"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王杰</w:t>
            </w:r>
          </w:p>
        </w:tc>
        <w:tc>
          <w:tcPr>
            <w:tcW w:w="1191" w:type="dxa"/>
            <w:vAlign w:val="top"/>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989" w:type="dxa"/>
            <w:vAlign w:val="top"/>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989" w:type="dxa"/>
            <w:vAlign w:val="top"/>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986" w:type="dxa"/>
            <w:vAlign w:val="top"/>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40" w:hRule="atLeast"/>
        </w:trPr>
        <w:tc>
          <w:tcPr>
            <w:tcW w:w="1136" w:type="dxa"/>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RW-11</w:t>
            </w:r>
          </w:p>
        </w:tc>
        <w:tc>
          <w:tcPr>
            <w:tcW w:w="6683" w:type="dxa"/>
            <w:vAlign w:val="center"/>
          </w:tcPr>
          <w:p>
            <w:pPr>
              <w:widowControl/>
              <w:rPr>
                <w:rFonts w:ascii="宋体" w:hAnsi="宋体" w:eastAsia="宋体" w:cs="宋体"/>
                <w:color w:val="000000"/>
                <w:kern w:val="0"/>
                <w:sz w:val="22"/>
              </w:rPr>
            </w:pPr>
            <w:r>
              <w:rPr>
                <w:rFonts w:hint="eastAsia" w:ascii="宋体" w:hAnsi="宋体" w:eastAsia="宋体" w:cs="宋体"/>
                <w:color w:val="000000"/>
                <w:kern w:val="0"/>
                <w:sz w:val="22"/>
              </w:rPr>
              <w:t>推动落实《职业院校数字校园建设规范》，建设高等职业教育人才培养工作状态数据管理系统</w:t>
            </w:r>
          </w:p>
        </w:tc>
        <w:tc>
          <w:tcPr>
            <w:tcW w:w="1301"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科技室</w:t>
            </w:r>
          </w:p>
        </w:tc>
        <w:tc>
          <w:tcPr>
            <w:tcW w:w="899"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成刚</w:t>
            </w:r>
          </w:p>
        </w:tc>
        <w:tc>
          <w:tcPr>
            <w:tcW w:w="1191" w:type="dxa"/>
            <w:vAlign w:val="top"/>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361.58</w:t>
            </w:r>
          </w:p>
        </w:tc>
        <w:tc>
          <w:tcPr>
            <w:tcW w:w="989" w:type="dxa"/>
            <w:vAlign w:val="top"/>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231.18</w:t>
            </w:r>
          </w:p>
        </w:tc>
        <w:tc>
          <w:tcPr>
            <w:tcW w:w="989" w:type="dxa"/>
            <w:vAlign w:val="top"/>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332.18</w:t>
            </w:r>
          </w:p>
        </w:tc>
        <w:tc>
          <w:tcPr>
            <w:tcW w:w="986" w:type="dxa"/>
            <w:vAlign w:val="top"/>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924.94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00" w:hRule="atLeast"/>
        </w:trPr>
        <w:tc>
          <w:tcPr>
            <w:tcW w:w="1136" w:type="dxa"/>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RW-12</w:t>
            </w:r>
          </w:p>
        </w:tc>
        <w:tc>
          <w:tcPr>
            <w:tcW w:w="6683" w:type="dxa"/>
            <w:vAlign w:val="center"/>
          </w:tcPr>
          <w:p>
            <w:pPr>
              <w:widowControl/>
              <w:rPr>
                <w:rFonts w:ascii="宋体" w:hAnsi="宋体" w:eastAsia="宋体" w:cs="宋体"/>
                <w:color w:val="000000"/>
                <w:kern w:val="0"/>
                <w:sz w:val="22"/>
              </w:rPr>
            </w:pPr>
            <w:r>
              <w:rPr>
                <w:rFonts w:hint="eastAsia" w:ascii="宋体" w:hAnsi="宋体" w:eastAsia="宋体" w:cs="宋体"/>
                <w:color w:val="000000"/>
                <w:kern w:val="0"/>
                <w:sz w:val="22"/>
              </w:rPr>
              <w:t>将信息技术应用能力作为教师评聘考核的重要依据</w:t>
            </w:r>
          </w:p>
        </w:tc>
        <w:tc>
          <w:tcPr>
            <w:tcW w:w="1301"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人资部</w:t>
            </w:r>
          </w:p>
        </w:tc>
        <w:tc>
          <w:tcPr>
            <w:tcW w:w="899"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王杰</w:t>
            </w:r>
          </w:p>
        </w:tc>
        <w:tc>
          <w:tcPr>
            <w:tcW w:w="1191" w:type="dxa"/>
            <w:vAlign w:val="top"/>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13</w:t>
            </w:r>
          </w:p>
        </w:tc>
        <w:tc>
          <w:tcPr>
            <w:tcW w:w="989" w:type="dxa"/>
            <w:vAlign w:val="top"/>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17</w:t>
            </w:r>
          </w:p>
        </w:tc>
        <w:tc>
          <w:tcPr>
            <w:tcW w:w="989" w:type="dxa"/>
            <w:vAlign w:val="top"/>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20</w:t>
            </w:r>
          </w:p>
        </w:tc>
        <w:tc>
          <w:tcPr>
            <w:tcW w:w="986" w:type="dxa"/>
            <w:vAlign w:val="top"/>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410" w:hRule="atLeast"/>
        </w:trPr>
        <w:tc>
          <w:tcPr>
            <w:tcW w:w="1136" w:type="dxa"/>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RW-21</w:t>
            </w:r>
          </w:p>
        </w:tc>
        <w:tc>
          <w:tcPr>
            <w:tcW w:w="6683" w:type="dxa"/>
            <w:vAlign w:val="center"/>
          </w:tcPr>
          <w:p>
            <w:pPr>
              <w:widowControl/>
              <w:rPr>
                <w:rFonts w:ascii="宋体" w:hAnsi="宋体" w:eastAsia="宋体" w:cs="宋体"/>
                <w:color w:val="000000"/>
                <w:kern w:val="0"/>
                <w:sz w:val="22"/>
              </w:rPr>
            </w:pPr>
            <w:r>
              <w:rPr>
                <w:rFonts w:hint="eastAsia" w:ascii="宋体" w:hAnsi="宋体" w:eastAsia="宋体" w:cs="宋体"/>
                <w:color w:val="000000"/>
                <w:kern w:val="0"/>
                <w:sz w:val="22"/>
              </w:rPr>
              <w:t>规范落实《教育部关于积极推进高等职业教育考试招生制度改革的指导意见》；研究制订职业院校学生进入高层次学校学习的办法；</w:t>
            </w:r>
            <w:r>
              <w:rPr>
                <w:rFonts w:ascii="Times New Roman" w:hAnsi="Times New Roman" w:eastAsia="宋体" w:cs="Times New Roman"/>
                <w:color w:val="000000"/>
                <w:kern w:val="0"/>
                <w:sz w:val="22"/>
              </w:rPr>
              <w:t>2016</w:t>
            </w:r>
            <w:r>
              <w:rPr>
                <w:rFonts w:hint="eastAsia" w:ascii="宋体" w:hAnsi="宋体" w:eastAsia="宋体" w:cs="宋体"/>
                <w:color w:val="000000"/>
                <w:kern w:val="0"/>
                <w:sz w:val="22"/>
              </w:rPr>
              <w:t>年通过分类考试录取的学生占高等职业院校招生总数的一半左右，</w:t>
            </w:r>
            <w:r>
              <w:rPr>
                <w:rFonts w:ascii="Times New Roman" w:hAnsi="Times New Roman" w:eastAsia="宋体" w:cs="Times New Roman"/>
                <w:color w:val="000000"/>
                <w:kern w:val="0"/>
                <w:sz w:val="22"/>
              </w:rPr>
              <w:t>2017</w:t>
            </w:r>
            <w:r>
              <w:rPr>
                <w:rFonts w:hint="eastAsia" w:ascii="宋体" w:hAnsi="宋体" w:eastAsia="宋体" w:cs="宋体"/>
                <w:color w:val="000000"/>
                <w:kern w:val="0"/>
                <w:sz w:val="22"/>
              </w:rPr>
              <w:t>年成为主渠道；逐步提高专科高等职业院校招收中等职业学校毕业生的比例和本科高等学校招收职业院校毕业生的比例</w:t>
            </w:r>
          </w:p>
        </w:tc>
        <w:tc>
          <w:tcPr>
            <w:tcW w:w="1301"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学管部</w:t>
            </w:r>
          </w:p>
        </w:tc>
        <w:tc>
          <w:tcPr>
            <w:tcW w:w="899"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常斌</w:t>
            </w:r>
          </w:p>
        </w:tc>
        <w:tc>
          <w:tcPr>
            <w:tcW w:w="1191" w:type="dxa"/>
            <w:textDirection w:val="lrTb"/>
            <w:vAlign w:val="top"/>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12</w:t>
            </w:r>
          </w:p>
        </w:tc>
        <w:tc>
          <w:tcPr>
            <w:tcW w:w="989" w:type="dxa"/>
            <w:vAlign w:val="top"/>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32</w:t>
            </w:r>
          </w:p>
        </w:tc>
        <w:tc>
          <w:tcPr>
            <w:tcW w:w="989" w:type="dxa"/>
            <w:vAlign w:val="top"/>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14</w:t>
            </w:r>
          </w:p>
        </w:tc>
        <w:tc>
          <w:tcPr>
            <w:tcW w:w="986" w:type="dxa"/>
            <w:vAlign w:val="top"/>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40" w:hRule="atLeast"/>
        </w:trPr>
        <w:tc>
          <w:tcPr>
            <w:tcW w:w="1136" w:type="dxa"/>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RW-28</w:t>
            </w:r>
          </w:p>
        </w:tc>
        <w:tc>
          <w:tcPr>
            <w:tcW w:w="6683" w:type="dxa"/>
            <w:vAlign w:val="center"/>
          </w:tcPr>
          <w:p>
            <w:pPr>
              <w:widowControl/>
              <w:rPr>
                <w:rFonts w:ascii="宋体" w:hAnsi="宋体" w:eastAsia="宋体" w:cs="宋体"/>
                <w:color w:val="000000"/>
                <w:kern w:val="0"/>
                <w:sz w:val="22"/>
              </w:rPr>
            </w:pPr>
            <w:r>
              <w:rPr>
                <w:rFonts w:hint="eastAsia" w:ascii="宋体" w:hAnsi="宋体" w:eastAsia="宋体" w:cs="宋体"/>
                <w:color w:val="000000"/>
                <w:kern w:val="0"/>
                <w:sz w:val="22"/>
              </w:rPr>
              <w:t>落实《教育部人力资源社会保障部关于推进职业院校服务经济转型升级面向行业企业开展职工继续教育的意见》</w:t>
            </w:r>
          </w:p>
        </w:tc>
        <w:tc>
          <w:tcPr>
            <w:tcW w:w="1301"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培管部</w:t>
            </w:r>
          </w:p>
        </w:tc>
        <w:tc>
          <w:tcPr>
            <w:tcW w:w="899"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冯涛</w:t>
            </w:r>
          </w:p>
        </w:tc>
        <w:tc>
          <w:tcPr>
            <w:tcW w:w="1191" w:type="dxa"/>
            <w:textDirection w:val="lrTb"/>
            <w:vAlign w:val="top"/>
          </w:tcPr>
          <w:p>
            <w:pPr>
              <w:jc w:val="right"/>
              <w:rPr>
                <w:rFonts w:ascii="宋体" w:hAnsi="宋体" w:eastAsia="宋体" w:cs="宋体"/>
                <w:color w:val="000000"/>
                <w:kern w:val="0"/>
                <w:szCs w:val="21"/>
              </w:rPr>
            </w:pPr>
            <w:r>
              <w:rPr>
                <w:rFonts w:hint="eastAsia" w:ascii="宋体" w:cs="Times New Roman"/>
                <w:lang w:val="en-US" w:eastAsia="zh-CN"/>
              </w:rPr>
              <w:t>29</w:t>
            </w:r>
          </w:p>
        </w:tc>
        <w:tc>
          <w:tcPr>
            <w:tcW w:w="989" w:type="dxa"/>
            <w:textDirection w:val="lrTb"/>
            <w:vAlign w:val="top"/>
          </w:tcPr>
          <w:p>
            <w:pPr>
              <w:jc w:val="right"/>
              <w:rPr>
                <w:rFonts w:ascii="宋体" w:hAnsi="宋体" w:eastAsia="宋体" w:cs="宋体"/>
                <w:color w:val="000000"/>
                <w:kern w:val="0"/>
                <w:szCs w:val="21"/>
              </w:rPr>
            </w:pPr>
            <w:r>
              <w:rPr>
                <w:rFonts w:hint="eastAsia" w:ascii="宋体" w:cs="Times New Roman"/>
                <w:lang w:val="en-US" w:eastAsia="zh-CN"/>
              </w:rPr>
              <w:t>34</w:t>
            </w:r>
          </w:p>
        </w:tc>
        <w:tc>
          <w:tcPr>
            <w:tcW w:w="989" w:type="dxa"/>
            <w:textDirection w:val="lrTb"/>
            <w:vAlign w:val="top"/>
          </w:tcPr>
          <w:p>
            <w:pPr>
              <w:jc w:val="right"/>
              <w:rPr>
                <w:rFonts w:ascii="宋体" w:hAnsi="宋体" w:eastAsia="宋体" w:cs="宋体"/>
                <w:color w:val="000000"/>
                <w:kern w:val="0"/>
                <w:szCs w:val="21"/>
              </w:rPr>
            </w:pPr>
            <w:r>
              <w:rPr>
                <w:rFonts w:hint="eastAsia" w:ascii="宋体" w:cs="Times New Roman"/>
                <w:lang w:val="en-US" w:eastAsia="zh-CN"/>
              </w:rPr>
              <w:t>34</w:t>
            </w:r>
          </w:p>
        </w:tc>
        <w:tc>
          <w:tcPr>
            <w:tcW w:w="986" w:type="dxa"/>
            <w:textDirection w:val="lrTb"/>
            <w:vAlign w:val="top"/>
          </w:tcPr>
          <w:p>
            <w:pPr>
              <w:jc w:val="right"/>
              <w:rPr>
                <w:rFonts w:ascii="宋体" w:hAnsi="宋体" w:eastAsia="宋体" w:cs="宋体"/>
                <w:color w:val="000000"/>
                <w:kern w:val="0"/>
                <w:szCs w:val="21"/>
              </w:rPr>
            </w:pPr>
            <w:r>
              <w:rPr>
                <w:rFonts w:hint="eastAsia" w:ascii="宋体" w:cs="Times New Roman"/>
                <w:lang w:val="en-US" w:eastAsia="zh-CN"/>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82" w:hRule="atLeast"/>
        </w:trPr>
        <w:tc>
          <w:tcPr>
            <w:tcW w:w="1136" w:type="dxa"/>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RW-36</w:t>
            </w:r>
          </w:p>
        </w:tc>
        <w:tc>
          <w:tcPr>
            <w:tcW w:w="6683" w:type="dxa"/>
            <w:vAlign w:val="center"/>
          </w:tcPr>
          <w:p>
            <w:pPr>
              <w:widowControl/>
              <w:rPr>
                <w:rFonts w:ascii="宋体" w:hAnsi="宋体" w:eastAsia="宋体" w:cs="宋体"/>
                <w:color w:val="000000"/>
                <w:kern w:val="0"/>
                <w:sz w:val="22"/>
              </w:rPr>
            </w:pPr>
            <w:r>
              <w:rPr>
                <w:rFonts w:hint="eastAsia" w:ascii="宋体" w:hAnsi="宋体" w:eastAsia="宋体" w:cs="宋体"/>
                <w:color w:val="000000"/>
                <w:kern w:val="0"/>
                <w:sz w:val="22"/>
              </w:rPr>
              <w:t>优化院校布局、调整专业结构</w:t>
            </w:r>
          </w:p>
        </w:tc>
        <w:tc>
          <w:tcPr>
            <w:tcW w:w="1301"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教务部</w:t>
            </w:r>
          </w:p>
        </w:tc>
        <w:tc>
          <w:tcPr>
            <w:tcW w:w="899"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杨浩</w:t>
            </w:r>
          </w:p>
        </w:tc>
        <w:tc>
          <w:tcPr>
            <w:tcW w:w="1191" w:type="dxa"/>
            <w:textDirection w:val="lrTb"/>
            <w:vAlign w:val="top"/>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27</w:t>
            </w:r>
          </w:p>
        </w:tc>
        <w:tc>
          <w:tcPr>
            <w:tcW w:w="989" w:type="dxa"/>
            <w:textDirection w:val="lrTb"/>
            <w:vAlign w:val="top"/>
          </w:tcPr>
          <w:p>
            <w:pPr>
              <w:widowControl/>
              <w:jc w:val="right"/>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35</w:t>
            </w:r>
          </w:p>
        </w:tc>
        <w:tc>
          <w:tcPr>
            <w:tcW w:w="989" w:type="dxa"/>
            <w:textDirection w:val="lrTb"/>
            <w:vAlign w:val="top"/>
          </w:tcPr>
          <w:p>
            <w:pPr>
              <w:widowControl/>
              <w:jc w:val="right"/>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35</w:t>
            </w:r>
          </w:p>
        </w:tc>
        <w:tc>
          <w:tcPr>
            <w:tcW w:w="986" w:type="dxa"/>
            <w:textDirection w:val="lrTb"/>
            <w:vAlign w:val="top"/>
          </w:tcPr>
          <w:p>
            <w:pPr>
              <w:widowControl/>
              <w:jc w:val="right"/>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40" w:hRule="atLeast"/>
        </w:trPr>
        <w:tc>
          <w:tcPr>
            <w:tcW w:w="1136" w:type="dxa"/>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RW-37</w:t>
            </w:r>
          </w:p>
        </w:tc>
        <w:tc>
          <w:tcPr>
            <w:tcW w:w="6683" w:type="dxa"/>
            <w:vAlign w:val="center"/>
          </w:tcPr>
          <w:p>
            <w:pPr>
              <w:widowControl/>
              <w:rPr>
                <w:rFonts w:ascii="宋体" w:hAnsi="宋体" w:eastAsia="宋体" w:cs="宋体"/>
                <w:color w:val="000000"/>
                <w:kern w:val="0"/>
                <w:sz w:val="22"/>
              </w:rPr>
            </w:pPr>
            <w:r>
              <w:rPr>
                <w:rFonts w:hint="eastAsia" w:ascii="宋体" w:hAnsi="宋体" w:eastAsia="宋体" w:cs="宋体"/>
                <w:color w:val="000000"/>
                <w:kern w:val="0"/>
                <w:sz w:val="22"/>
              </w:rPr>
              <w:t>建立产业结构调整驱动专业设置与改革、产业技术进步驱动课程改革的机制</w:t>
            </w:r>
          </w:p>
        </w:tc>
        <w:tc>
          <w:tcPr>
            <w:tcW w:w="1301"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教务部</w:t>
            </w:r>
          </w:p>
        </w:tc>
        <w:tc>
          <w:tcPr>
            <w:tcW w:w="899"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杨浩</w:t>
            </w:r>
          </w:p>
        </w:tc>
        <w:tc>
          <w:tcPr>
            <w:tcW w:w="1191" w:type="dxa"/>
            <w:vAlign w:val="top"/>
          </w:tcPr>
          <w:p>
            <w:pPr>
              <w:widowControl/>
              <w:jc w:val="right"/>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31</w:t>
            </w:r>
          </w:p>
        </w:tc>
        <w:tc>
          <w:tcPr>
            <w:tcW w:w="989" w:type="dxa"/>
            <w:vAlign w:val="top"/>
          </w:tcPr>
          <w:p>
            <w:pPr>
              <w:widowControl/>
              <w:jc w:val="right"/>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29</w:t>
            </w:r>
          </w:p>
        </w:tc>
        <w:tc>
          <w:tcPr>
            <w:tcW w:w="989" w:type="dxa"/>
            <w:vAlign w:val="top"/>
          </w:tcPr>
          <w:p>
            <w:pPr>
              <w:widowControl/>
              <w:jc w:val="right"/>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29</w:t>
            </w:r>
          </w:p>
        </w:tc>
        <w:tc>
          <w:tcPr>
            <w:tcW w:w="986" w:type="dxa"/>
            <w:vAlign w:val="top"/>
          </w:tcPr>
          <w:p>
            <w:pPr>
              <w:widowControl/>
              <w:jc w:val="right"/>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080" w:hRule="atLeast"/>
        </w:trPr>
        <w:tc>
          <w:tcPr>
            <w:tcW w:w="1136" w:type="dxa"/>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RW-39</w:t>
            </w:r>
          </w:p>
        </w:tc>
        <w:tc>
          <w:tcPr>
            <w:tcW w:w="6683" w:type="dxa"/>
            <w:vAlign w:val="center"/>
          </w:tcPr>
          <w:p>
            <w:pPr>
              <w:widowControl/>
              <w:rPr>
                <w:rFonts w:ascii="宋体" w:hAnsi="宋体" w:eastAsia="宋体" w:cs="宋体"/>
                <w:color w:val="000000"/>
                <w:kern w:val="0"/>
                <w:sz w:val="22"/>
              </w:rPr>
            </w:pPr>
            <w:r>
              <w:rPr>
                <w:rFonts w:hint="eastAsia" w:ascii="宋体" w:hAnsi="宋体" w:eastAsia="宋体" w:cs="宋体"/>
                <w:color w:val="000000"/>
                <w:kern w:val="0"/>
                <w:sz w:val="22"/>
              </w:rPr>
              <w:t>优先保证新一代信息技术产业、高档数控机床和机器人、航空航天装备、海洋工程装备及高技术船舶、先进轨道交通装备、节能与新能源汽车、电力装备、农机装备、新材料、生物医药及高性能医疗器械产业相关专业的布局与发展</w:t>
            </w:r>
          </w:p>
        </w:tc>
        <w:tc>
          <w:tcPr>
            <w:tcW w:w="1301"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电力系</w:t>
            </w:r>
          </w:p>
        </w:tc>
        <w:tc>
          <w:tcPr>
            <w:tcW w:w="899"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王维超</w:t>
            </w:r>
          </w:p>
        </w:tc>
        <w:tc>
          <w:tcPr>
            <w:tcW w:w="1191" w:type="dxa"/>
            <w:vAlign w:val="top"/>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22</w:t>
            </w:r>
          </w:p>
        </w:tc>
        <w:tc>
          <w:tcPr>
            <w:tcW w:w="989" w:type="dxa"/>
            <w:vAlign w:val="top"/>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33</w:t>
            </w:r>
          </w:p>
        </w:tc>
        <w:tc>
          <w:tcPr>
            <w:tcW w:w="989" w:type="dxa"/>
            <w:vAlign w:val="top"/>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203</w:t>
            </w:r>
          </w:p>
        </w:tc>
        <w:tc>
          <w:tcPr>
            <w:tcW w:w="986" w:type="dxa"/>
            <w:vAlign w:val="top"/>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00" w:hRule="atLeast"/>
        </w:trPr>
        <w:tc>
          <w:tcPr>
            <w:tcW w:w="1136" w:type="dxa"/>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RW-40</w:t>
            </w:r>
          </w:p>
        </w:tc>
        <w:tc>
          <w:tcPr>
            <w:tcW w:w="6683" w:type="dxa"/>
            <w:vAlign w:val="center"/>
          </w:tcPr>
          <w:p>
            <w:pPr>
              <w:widowControl/>
              <w:rPr>
                <w:rFonts w:ascii="宋体" w:hAnsi="宋体" w:eastAsia="宋体" w:cs="宋体"/>
                <w:color w:val="000000"/>
                <w:kern w:val="0"/>
                <w:sz w:val="22"/>
              </w:rPr>
            </w:pPr>
            <w:r>
              <w:rPr>
                <w:rFonts w:hint="eastAsia" w:ascii="宋体" w:hAnsi="宋体" w:eastAsia="宋体" w:cs="宋体"/>
                <w:color w:val="000000"/>
                <w:kern w:val="0"/>
                <w:sz w:val="22"/>
              </w:rPr>
              <w:t>加强现代服务业亟需人才培养，加快满足社会建设和社会管理人才需求</w:t>
            </w:r>
          </w:p>
        </w:tc>
        <w:tc>
          <w:tcPr>
            <w:tcW w:w="1301"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管理系</w:t>
            </w:r>
          </w:p>
        </w:tc>
        <w:tc>
          <w:tcPr>
            <w:tcW w:w="899"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郭怀德</w:t>
            </w:r>
          </w:p>
        </w:tc>
        <w:tc>
          <w:tcPr>
            <w:tcW w:w="1191" w:type="dxa"/>
            <w:vAlign w:val="top"/>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2.5</w:t>
            </w:r>
          </w:p>
        </w:tc>
        <w:tc>
          <w:tcPr>
            <w:tcW w:w="989" w:type="dxa"/>
            <w:vAlign w:val="top"/>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15</w:t>
            </w:r>
          </w:p>
        </w:tc>
        <w:tc>
          <w:tcPr>
            <w:tcW w:w="989" w:type="dxa"/>
            <w:vAlign w:val="top"/>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20</w:t>
            </w:r>
          </w:p>
        </w:tc>
        <w:tc>
          <w:tcPr>
            <w:tcW w:w="986" w:type="dxa"/>
            <w:vAlign w:val="top"/>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10" w:hRule="atLeast"/>
        </w:trPr>
        <w:tc>
          <w:tcPr>
            <w:tcW w:w="1136" w:type="dxa"/>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RW-42</w:t>
            </w:r>
          </w:p>
        </w:tc>
        <w:tc>
          <w:tcPr>
            <w:tcW w:w="6683" w:type="dxa"/>
            <w:vAlign w:val="center"/>
          </w:tcPr>
          <w:p>
            <w:pPr>
              <w:widowControl/>
              <w:rPr>
                <w:rFonts w:ascii="宋体" w:hAnsi="宋体" w:eastAsia="宋体" w:cs="宋体"/>
                <w:color w:val="000000"/>
                <w:kern w:val="0"/>
                <w:sz w:val="22"/>
              </w:rPr>
            </w:pPr>
            <w:r>
              <w:rPr>
                <w:rFonts w:hint="eastAsia" w:ascii="宋体" w:hAnsi="宋体" w:eastAsia="宋体" w:cs="宋体"/>
                <w:color w:val="000000"/>
                <w:kern w:val="0"/>
                <w:sz w:val="22"/>
              </w:rPr>
              <w:t>促进专业教育与创新创业教育有机融合；利用各种资源建设大学科技园、大学生创业园、创业孵化基地和小微企业创业基地，作为创业教育实践平台</w:t>
            </w:r>
          </w:p>
        </w:tc>
        <w:tc>
          <w:tcPr>
            <w:tcW w:w="1301"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团委</w:t>
            </w:r>
          </w:p>
        </w:tc>
        <w:tc>
          <w:tcPr>
            <w:tcW w:w="899"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杜卫庆</w:t>
            </w:r>
          </w:p>
        </w:tc>
        <w:tc>
          <w:tcPr>
            <w:tcW w:w="1191" w:type="dxa"/>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4</w:t>
            </w:r>
          </w:p>
        </w:tc>
        <w:tc>
          <w:tcPr>
            <w:tcW w:w="989" w:type="dxa"/>
            <w:vAlign w:val="center"/>
          </w:tcPr>
          <w:p>
            <w:pPr>
              <w:widowControl/>
              <w:jc w:val="right"/>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val="en-US" w:eastAsia="zh-CN"/>
              </w:rPr>
              <w:t>38</w:t>
            </w:r>
          </w:p>
        </w:tc>
        <w:tc>
          <w:tcPr>
            <w:tcW w:w="989" w:type="dxa"/>
            <w:vAlign w:val="center"/>
          </w:tcPr>
          <w:p>
            <w:pPr>
              <w:widowControl/>
              <w:jc w:val="right"/>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val="en-US" w:eastAsia="zh-CN"/>
              </w:rPr>
              <w:t>58</w:t>
            </w:r>
          </w:p>
        </w:tc>
        <w:tc>
          <w:tcPr>
            <w:tcW w:w="986" w:type="dxa"/>
            <w:vAlign w:val="center"/>
          </w:tcPr>
          <w:p>
            <w:pPr>
              <w:widowControl/>
              <w:jc w:val="right"/>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080" w:hRule="atLeast"/>
        </w:trPr>
        <w:tc>
          <w:tcPr>
            <w:tcW w:w="1136" w:type="dxa"/>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RW-43</w:t>
            </w:r>
          </w:p>
        </w:tc>
        <w:tc>
          <w:tcPr>
            <w:tcW w:w="6683" w:type="dxa"/>
            <w:vAlign w:val="center"/>
          </w:tcPr>
          <w:p>
            <w:pPr>
              <w:widowControl/>
              <w:rPr>
                <w:rFonts w:ascii="宋体" w:hAnsi="宋体" w:eastAsia="宋体" w:cs="宋体"/>
                <w:color w:val="000000"/>
                <w:kern w:val="0"/>
                <w:sz w:val="22"/>
              </w:rPr>
            </w:pPr>
            <w:r>
              <w:rPr>
                <w:rFonts w:hint="eastAsia" w:ascii="宋体" w:hAnsi="宋体" w:eastAsia="宋体" w:cs="宋体"/>
                <w:color w:val="000000"/>
                <w:kern w:val="0"/>
                <w:sz w:val="22"/>
              </w:rPr>
              <w:t>探索将学生完成的创新实验、论文发表、专利获取、自主创业等成果折算为学分，将学生参与课题研究、项目实验等活动认定为课堂学习；优先支持参与创新创业的学生转入相关专业学习；实施弹性学制，放宽学生修业年限，允许调整学业进程、保留学籍休学创新创业</w:t>
            </w:r>
          </w:p>
        </w:tc>
        <w:tc>
          <w:tcPr>
            <w:tcW w:w="1301"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教务部</w:t>
            </w:r>
          </w:p>
        </w:tc>
        <w:tc>
          <w:tcPr>
            <w:tcW w:w="899"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焦健</w:t>
            </w:r>
          </w:p>
        </w:tc>
        <w:tc>
          <w:tcPr>
            <w:tcW w:w="1191" w:type="dxa"/>
            <w:textDirection w:val="lrTb"/>
            <w:vAlign w:val="center"/>
          </w:tcPr>
          <w:p>
            <w:pPr>
              <w:widowControl/>
              <w:jc w:val="right"/>
              <w:rPr>
                <w:rFonts w:ascii="宋体" w:hAnsi="宋体" w:eastAsia="宋体" w:cs="宋体"/>
                <w:color w:val="000000"/>
                <w:kern w:val="0"/>
                <w:szCs w:val="21"/>
              </w:rPr>
            </w:pPr>
            <w:r>
              <w:rPr>
                <w:rFonts w:hint="eastAsia" w:ascii="宋体" w:hAnsi="宋体" w:cs="仿宋_GB2312"/>
                <w:shd w:val="clear" w:color="auto" w:fill="FFFFFF"/>
                <w:lang w:val="en-US" w:eastAsia="zh-CN"/>
              </w:rPr>
              <w:t>15</w:t>
            </w:r>
          </w:p>
        </w:tc>
        <w:tc>
          <w:tcPr>
            <w:tcW w:w="989" w:type="dxa"/>
            <w:textDirection w:val="lrTb"/>
            <w:vAlign w:val="center"/>
          </w:tcPr>
          <w:p>
            <w:pPr>
              <w:widowControl/>
              <w:jc w:val="right"/>
              <w:rPr>
                <w:rFonts w:ascii="宋体" w:hAnsi="宋体" w:eastAsia="宋体" w:cs="宋体"/>
                <w:color w:val="000000"/>
                <w:kern w:val="0"/>
                <w:szCs w:val="21"/>
              </w:rPr>
            </w:pPr>
            <w:r>
              <w:rPr>
                <w:rFonts w:hint="eastAsia" w:ascii="宋体" w:hAnsi="宋体" w:cs="仿宋_GB2312"/>
                <w:shd w:val="clear" w:color="auto" w:fill="FFFFFF"/>
                <w:lang w:val="en-US" w:eastAsia="zh-CN"/>
              </w:rPr>
              <w:t>13</w:t>
            </w:r>
          </w:p>
        </w:tc>
        <w:tc>
          <w:tcPr>
            <w:tcW w:w="989" w:type="dxa"/>
            <w:textDirection w:val="lrTb"/>
            <w:vAlign w:val="center"/>
          </w:tcPr>
          <w:p>
            <w:pPr>
              <w:widowControl/>
              <w:jc w:val="right"/>
              <w:rPr>
                <w:rFonts w:ascii="宋体" w:hAnsi="宋体" w:eastAsia="宋体" w:cs="宋体"/>
                <w:color w:val="000000"/>
                <w:kern w:val="0"/>
                <w:szCs w:val="21"/>
              </w:rPr>
            </w:pPr>
            <w:r>
              <w:rPr>
                <w:rFonts w:hint="eastAsia" w:ascii="宋体" w:hAnsi="宋体" w:cs="仿宋_GB2312"/>
                <w:shd w:val="clear" w:color="auto" w:fill="FFFFFF"/>
                <w:lang w:val="en-US" w:eastAsia="zh-CN"/>
              </w:rPr>
              <w:t>102</w:t>
            </w:r>
          </w:p>
        </w:tc>
        <w:tc>
          <w:tcPr>
            <w:tcW w:w="986" w:type="dxa"/>
            <w:textDirection w:val="lrTb"/>
            <w:vAlign w:val="center"/>
          </w:tcPr>
          <w:p>
            <w:pPr>
              <w:widowControl/>
              <w:jc w:val="right"/>
              <w:rPr>
                <w:rFonts w:ascii="宋体" w:hAnsi="宋体" w:eastAsia="宋体" w:cs="宋体"/>
                <w:color w:val="000000"/>
                <w:kern w:val="0"/>
                <w:szCs w:val="21"/>
              </w:rPr>
            </w:pPr>
            <w:r>
              <w:rPr>
                <w:rFonts w:ascii="宋体" w:hAnsi="宋体" w:cs="仿宋_GB2312"/>
                <w:shd w:val="clear" w:color="auto" w:fill="FFFFFF"/>
              </w:rPr>
              <w:fldChar w:fldCharType="begin"/>
            </w:r>
            <w:r>
              <w:rPr>
                <w:rFonts w:ascii="宋体" w:hAnsi="宋体" w:cs="仿宋_GB2312"/>
                <w:shd w:val="clear" w:color="auto" w:fill="FFFFFF"/>
              </w:rPr>
              <w:instrText xml:space="preserve"> =SUM(ABOVE) \* MERGEFORMAT </w:instrText>
            </w:r>
            <w:r>
              <w:rPr>
                <w:rFonts w:ascii="宋体" w:hAnsi="宋体" w:cs="仿宋_GB2312"/>
                <w:shd w:val="clear" w:color="auto" w:fill="FFFFFF"/>
              </w:rPr>
              <w:fldChar w:fldCharType="separate"/>
            </w:r>
            <w:r>
              <w:rPr>
                <w:rFonts w:ascii="宋体" w:hAnsi="宋体" w:cs="仿宋_GB2312"/>
                <w:shd w:val="clear" w:color="auto" w:fill="FFFFFF"/>
              </w:rPr>
              <w:t>130</w:t>
            </w:r>
            <w:r>
              <w:rPr>
                <w:rFonts w:ascii="宋体" w:hAnsi="宋体" w:cs="仿宋_GB2312"/>
                <w:shd w:val="clear" w:color="auto" w:fill="FFFFFF"/>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10" w:hRule="atLeast"/>
        </w:trPr>
        <w:tc>
          <w:tcPr>
            <w:tcW w:w="1136" w:type="dxa"/>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RW-44</w:t>
            </w:r>
          </w:p>
        </w:tc>
        <w:tc>
          <w:tcPr>
            <w:tcW w:w="6683" w:type="dxa"/>
            <w:vAlign w:val="center"/>
          </w:tcPr>
          <w:p>
            <w:pPr>
              <w:widowControl/>
              <w:rPr>
                <w:rFonts w:ascii="宋体" w:hAnsi="宋体" w:eastAsia="宋体" w:cs="宋体"/>
                <w:color w:val="000000"/>
                <w:kern w:val="0"/>
                <w:sz w:val="22"/>
              </w:rPr>
            </w:pPr>
            <w:r>
              <w:rPr>
                <w:rFonts w:hint="eastAsia" w:ascii="宋体" w:hAnsi="宋体" w:eastAsia="宋体" w:cs="宋体"/>
                <w:color w:val="000000"/>
                <w:kern w:val="0"/>
                <w:sz w:val="22"/>
              </w:rPr>
              <w:t>地区、有关部门整合发展财政和社会资金，支持高校学生创新创业活动。高等职业院校优化经费支出结构，多渠道统筹安排资金，支持创新创业教育教学，资助学生创新创业项目</w:t>
            </w:r>
          </w:p>
        </w:tc>
        <w:tc>
          <w:tcPr>
            <w:tcW w:w="1301"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教务部</w:t>
            </w:r>
          </w:p>
        </w:tc>
        <w:tc>
          <w:tcPr>
            <w:tcW w:w="899"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左红梅</w:t>
            </w:r>
          </w:p>
        </w:tc>
        <w:tc>
          <w:tcPr>
            <w:tcW w:w="1191" w:type="dxa"/>
            <w:vAlign w:val="top"/>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989" w:type="dxa"/>
            <w:vAlign w:val="top"/>
          </w:tcPr>
          <w:p>
            <w:pPr>
              <w:widowControl/>
              <w:jc w:val="right"/>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45</w:t>
            </w:r>
          </w:p>
        </w:tc>
        <w:tc>
          <w:tcPr>
            <w:tcW w:w="989" w:type="dxa"/>
            <w:vAlign w:val="top"/>
          </w:tcPr>
          <w:p>
            <w:pPr>
              <w:widowControl/>
              <w:jc w:val="right"/>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45</w:t>
            </w:r>
          </w:p>
        </w:tc>
        <w:tc>
          <w:tcPr>
            <w:tcW w:w="986" w:type="dxa"/>
            <w:vAlign w:val="top"/>
          </w:tcPr>
          <w:p>
            <w:pPr>
              <w:widowControl/>
              <w:jc w:val="right"/>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00" w:hRule="atLeast"/>
        </w:trPr>
        <w:tc>
          <w:tcPr>
            <w:tcW w:w="1136" w:type="dxa"/>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RW-50</w:t>
            </w:r>
          </w:p>
        </w:tc>
        <w:tc>
          <w:tcPr>
            <w:tcW w:w="6683" w:type="dxa"/>
            <w:vAlign w:val="center"/>
          </w:tcPr>
          <w:p>
            <w:pPr>
              <w:widowControl/>
              <w:rPr>
                <w:rFonts w:ascii="宋体" w:hAnsi="宋体" w:eastAsia="宋体" w:cs="宋体"/>
                <w:color w:val="000000"/>
                <w:kern w:val="0"/>
                <w:sz w:val="22"/>
              </w:rPr>
            </w:pPr>
            <w:r>
              <w:rPr>
                <w:rFonts w:hint="eastAsia" w:ascii="宋体" w:hAnsi="宋体" w:eastAsia="宋体" w:cs="宋体"/>
                <w:color w:val="000000"/>
                <w:kern w:val="0"/>
                <w:sz w:val="22"/>
              </w:rPr>
              <w:t>完成高等职业院校章程制定、修订工作</w:t>
            </w:r>
          </w:p>
        </w:tc>
        <w:tc>
          <w:tcPr>
            <w:tcW w:w="1301"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计划室</w:t>
            </w:r>
          </w:p>
        </w:tc>
        <w:tc>
          <w:tcPr>
            <w:tcW w:w="899"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杨海伏</w:t>
            </w:r>
          </w:p>
        </w:tc>
        <w:tc>
          <w:tcPr>
            <w:tcW w:w="1191" w:type="dxa"/>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989" w:type="dxa"/>
            <w:vAlign w:val="center"/>
          </w:tcPr>
          <w:p>
            <w:pPr>
              <w:widowControl/>
              <w:jc w:val="right"/>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3</w:t>
            </w:r>
          </w:p>
        </w:tc>
        <w:tc>
          <w:tcPr>
            <w:tcW w:w="989" w:type="dxa"/>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986" w:type="dxa"/>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40" w:hRule="atLeast"/>
        </w:trPr>
        <w:tc>
          <w:tcPr>
            <w:tcW w:w="1136" w:type="dxa"/>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RW-51</w:t>
            </w:r>
          </w:p>
        </w:tc>
        <w:tc>
          <w:tcPr>
            <w:tcW w:w="6683" w:type="dxa"/>
            <w:vAlign w:val="center"/>
          </w:tcPr>
          <w:p>
            <w:pPr>
              <w:widowControl/>
              <w:rPr>
                <w:rFonts w:ascii="宋体" w:hAnsi="宋体" w:eastAsia="宋体" w:cs="宋体"/>
                <w:color w:val="000000"/>
                <w:kern w:val="0"/>
                <w:sz w:val="22"/>
              </w:rPr>
            </w:pPr>
            <w:r>
              <w:rPr>
                <w:rFonts w:hint="eastAsia" w:ascii="宋体" w:hAnsi="宋体" w:eastAsia="宋体" w:cs="宋体"/>
                <w:color w:val="000000"/>
                <w:kern w:val="0"/>
                <w:sz w:val="22"/>
              </w:rPr>
              <w:t>推动高等职业院校参照《高等学校学术委员会规程》设立学术委员会；一批（不少于</w:t>
            </w:r>
            <w:r>
              <w:rPr>
                <w:rFonts w:ascii="Times New Roman" w:hAnsi="Times New Roman" w:eastAsia="宋体" w:cs="Times New Roman"/>
                <w:color w:val="000000"/>
                <w:kern w:val="0"/>
                <w:sz w:val="22"/>
              </w:rPr>
              <w:t>20%</w:t>
            </w:r>
            <w:r>
              <w:rPr>
                <w:rFonts w:hint="eastAsia" w:ascii="宋体" w:hAnsi="宋体" w:eastAsia="宋体" w:cs="宋体"/>
                <w:color w:val="000000"/>
                <w:kern w:val="0"/>
                <w:sz w:val="22"/>
              </w:rPr>
              <w:t>）专科高等职业院校参照《普通高等学校理事会规程（试行）》设立理事会或董事会机构</w:t>
            </w:r>
          </w:p>
        </w:tc>
        <w:tc>
          <w:tcPr>
            <w:tcW w:w="1301"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计划室</w:t>
            </w:r>
          </w:p>
        </w:tc>
        <w:tc>
          <w:tcPr>
            <w:tcW w:w="899"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杨海伏</w:t>
            </w:r>
          </w:p>
        </w:tc>
        <w:tc>
          <w:tcPr>
            <w:tcW w:w="1191" w:type="dxa"/>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989" w:type="dxa"/>
            <w:vAlign w:val="center"/>
          </w:tcPr>
          <w:p>
            <w:pPr>
              <w:widowControl/>
              <w:jc w:val="right"/>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3</w:t>
            </w:r>
          </w:p>
        </w:tc>
        <w:tc>
          <w:tcPr>
            <w:tcW w:w="989" w:type="dxa"/>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986" w:type="dxa"/>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10" w:hRule="atLeast"/>
        </w:trPr>
        <w:tc>
          <w:tcPr>
            <w:tcW w:w="1136" w:type="dxa"/>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RW-52</w:t>
            </w:r>
          </w:p>
        </w:tc>
        <w:tc>
          <w:tcPr>
            <w:tcW w:w="6683" w:type="dxa"/>
            <w:vAlign w:val="center"/>
          </w:tcPr>
          <w:p>
            <w:pPr>
              <w:widowControl/>
              <w:rPr>
                <w:rFonts w:ascii="宋体" w:hAnsi="宋体" w:eastAsia="宋体" w:cs="宋体"/>
                <w:color w:val="000000"/>
                <w:kern w:val="0"/>
                <w:sz w:val="22"/>
              </w:rPr>
            </w:pPr>
            <w:r>
              <w:rPr>
                <w:rFonts w:hint="eastAsia" w:ascii="宋体" w:hAnsi="宋体" w:eastAsia="宋体" w:cs="宋体"/>
                <w:color w:val="000000"/>
                <w:kern w:val="0"/>
                <w:sz w:val="22"/>
              </w:rPr>
              <w:t>巩固学校、省和国家三级高等职业教育质量年度报告制度，进一步提高年度质量报告的量化程度、可比性和可读性；强化对报告发布情况和撰写质量的监督管理</w:t>
            </w:r>
          </w:p>
        </w:tc>
        <w:tc>
          <w:tcPr>
            <w:tcW w:w="1301"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质管室</w:t>
            </w:r>
          </w:p>
        </w:tc>
        <w:tc>
          <w:tcPr>
            <w:tcW w:w="899"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印蕴瑞</w:t>
            </w:r>
          </w:p>
        </w:tc>
        <w:tc>
          <w:tcPr>
            <w:tcW w:w="1191" w:type="dxa"/>
            <w:vAlign w:val="top"/>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989" w:type="dxa"/>
            <w:vAlign w:val="top"/>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989" w:type="dxa"/>
            <w:vAlign w:val="top"/>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30</w:t>
            </w:r>
          </w:p>
        </w:tc>
        <w:tc>
          <w:tcPr>
            <w:tcW w:w="986" w:type="dxa"/>
            <w:vAlign w:val="top"/>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40" w:hRule="atLeast"/>
        </w:trPr>
        <w:tc>
          <w:tcPr>
            <w:tcW w:w="1136" w:type="dxa"/>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RW-53</w:t>
            </w:r>
          </w:p>
        </w:tc>
        <w:tc>
          <w:tcPr>
            <w:tcW w:w="6683" w:type="dxa"/>
            <w:vAlign w:val="center"/>
          </w:tcPr>
          <w:p>
            <w:pPr>
              <w:widowControl/>
              <w:rPr>
                <w:rFonts w:ascii="宋体" w:hAnsi="宋体" w:eastAsia="宋体" w:cs="宋体"/>
                <w:color w:val="000000"/>
                <w:kern w:val="0"/>
                <w:sz w:val="22"/>
              </w:rPr>
            </w:pPr>
            <w:r>
              <w:rPr>
                <w:rFonts w:hint="eastAsia" w:ascii="宋体" w:hAnsi="宋体" w:eastAsia="宋体" w:cs="宋体"/>
                <w:color w:val="000000"/>
                <w:kern w:val="0"/>
                <w:sz w:val="22"/>
              </w:rPr>
              <w:t>加强分类指导，以人才培养工作状态数据为基础，开展高职院校教学诊断和改进工作</w:t>
            </w:r>
          </w:p>
        </w:tc>
        <w:tc>
          <w:tcPr>
            <w:tcW w:w="1301"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教务部</w:t>
            </w:r>
          </w:p>
        </w:tc>
        <w:tc>
          <w:tcPr>
            <w:tcW w:w="899"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杨浩</w:t>
            </w:r>
          </w:p>
        </w:tc>
        <w:tc>
          <w:tcPr>
            <w:tcW w:w="1191" w:type="dxa"/>
            <w:vAlign w:val="top"/>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70</w:t>
            </w:r>
          </w:p>
        </w:tc>
        <w:tc>
          <w:tcPr>
            <w:tcW w:w="989" w:type="dxa"/>
            <w:vAlign w:val="top"/>
          </w:tcPr>
          <w:p>
            <w:pPr>
              <w:widowControl/>
              <w:jc w:val="right"/>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15</w:t>
            </w:r>
          </w:p>
        </w:tc>
        <w:tc>
          <w:tcPr>
            <w:tcW w:w="989" w:type="dxa"/>
            <w:vAlign w:val="top"/>
          </w:tcPr>
          <w:p>
            <w:pPr>
              <w:widowControl/>
              <w:jc w:val="right"/>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15</w:t>
            </w:r>
          </w:p>
        </w:tc>
        <w:tc>
          <w:tcPr>
            <w:tcW w:w="986" w:type="dxa"/>
            <w:vAlign w:val="top"/>
          </w:tcPr>
          <w:p>
            <w:pPr>
              <w:widowControl/>
              <w:jc w:val="right"/>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00" w:hRule="atLeast"/>
        </w:trPr>
        <w:tc>
          <w:tcPr>
            <w:tcW w:w="1136" w:type="dxa"/>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RW-54</w:t>
            </w:r>
          </w:p>
        </w:tc>
        <w:tc>
          <w:tcPr>
            <w:tcW w:w="6683" w:type="dxa"/>
            <w:vAlign w:val="center"/>
          </w:tcPr>
          <w:p>
            <w:pPr>
              <w:widowControl/>
              <w:rPr>
                <w:rFonts w:ascii="宋体" w:hAnsi="宋体" w:eastAsia="宋体" w:cs="宋体"/>
                <w:color w:val="000000"/>
                <w:kern w:val="0"/>
                <w:sz w:val="22"/>
              </w:rPr>
            </w:pPr>
            <w:r>
              <w:rPr>
                <w:rFonts w:hint="eastAsia" w:ascii="宋体" w:hAnsi="宋体" w:eastAsia="宋体" w:cs="宋体"/>
                <w:color w:val="000000"/>
                <w:kern w:val="0"/>
                <w:sz w:val="22"/>
              </w:rPr>
              <w:t>一批省份发布实施职业院校教师专业技术职务评聘办法</w:t>
            </w:r>
          </w:p>
        </w:tc>
        <w:tc>
          <w:tcPr>
            <w:tcW w:w="1301"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人资部</w:t>
            </w:r>
          </w:p>
        </w:tc>
        <w:tc>
          <w:tcPr>
            <w:tcW w:w="899"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王杰</w:t>
            </w:r>
          </w:p>
        </w:tc>
        <w:tc>
          <w:tcPr>
            <w:tcW w:w="1191" w:type="dxa"/>
            <w:vAlign w:val="center"/>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w:t>
            </w:r>
          </w:p>
        </w:tc>
        <w:tc>
          <w:tcPr>
            <w:tcW w:w="989" w:type="dxa"/>
            <w:vAlign w:val="center"/>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w:t>
            </w:r>
          </w:p>
        </w:tc>
        <w:tc>
          <w:tcPr>
            <w:tcW w:w="989" w:type="dxa"/>
            <w:vAlign w:val="center"/>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w:t>
            </w:r>
          </w:p>
        </w:tc>
        <w:tc>
          <w:tcPr>
            <w:tcW w:w="986" w:type="dxa"/>
            <w:vAlign w:val="center"/>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40" w:hRule="atLeast"/>
        </w:trPr>
        <w:tc>
          <w:tcPr>
            <w:tcW w:w="1136" w:type="dxa"/>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RW-56</w:t>
            </w:r>
          </w:p>
        </w:tc>
        <w:tc>
          <w:tcPr>
            <w:tcW w:w="6683" w:type="dxa"/>
            <w:vAlign w:val="center"/>
          </w:tcPr>
          <w:p>
            <w:pPr>
              <w:widowControl/>
              <w:rPr>
                <w:rFonts w:ascii="宋体" w:hAnsi="宋体" w:eastAsia="宋体" w:cs="宋体"/>
                <w:color w:val="000000"/>
                <w:kern w:val="0"/>
                <w:sz w:val="22"/>
              </w:rPr>
            </w:pPr>
            <w:r>
              <w:rPr>
                <w:rFonts w:hint="eastAsia" w:ascii="宋体" w:hAnsi="宋体" w:eastAsia="宋体" w:cs="宋体"/>
                <w:color w:val="000000"/>
                <w:kern w:val="0"/>
                <w:sz w:val="22"/>
              </w:rPr>
              <w:t>推动教师分类管理、分类评价的人事管理制度改革；全面推行按岗聘用、竞聘上岗</w:t>
            </w:r>
          </w:p>
        </w:tc>
        <w:tc>
          <w:tcPr>
            <w:tcW w:w="1301"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人资部</w:t>
            </w:r>
          </w:p>
        </w:tc>
        <w:tc>
          <w:tcPr>
            <w:tcW w:w="899"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王杰</w:t>
            </w:r>
          </w:p>
        </w:tc>
        <w:tc>
          <w:tcPr>
            <w:tcW w:w="1191" w:type="dxa"/>
            <w:vAlign w:val="center"/>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w:t>
            </w:r>
          </w:p>
        </w:tc>
        <w:tc>
          <w:tcPr>
            <w:tcW w:w="989" w:type="dxa"/>
            <w:vAlign w:val="center"/>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w:t>
            </w:r>
          </w:p>
        </w:tc>
        <w:tc>
          <w:tcPr>
            <w:tcW w:w="989" w:type="dxa"/>
            <w:vAlign w:val="center"/>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w:t>
            </w:r>
          </w:p>
        </w:tc>
        <w:tc>
          <w:tcPr>
            <w:tcW w:w="986" w:type="dxa"/>
            <w:vAlign w:val="center"/>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70" w:hRule="atLeast"/>
        </w:trPr>
        <w:tc>
          <w:tcPr>
            <w:tcW w:w="1136" w:type="dxa"/>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RW-57</w:t>
            </w:r>
          </w:p>
        </w:tc>
        <w:tc>
          <w:tcPr>
            <w:tcW w:w="6683" w:type="dxa"/>
            <w:vAlign w:val="center"/>
          </w:tcPr>
          <w:p>
            <w:pPr>
              <w:widowControl/>
              <w:rPr>
                <w:rFonts w:ascii="宋体" w:hAnsi="宋体" w:eastAsia="宋体" w:cs="宋体"/>
                <w:color w:val="000000"/>
                <w:kern w:val="0"/>
                <w:sz w:val="22"/>
              </w:rPr>
            </w:pPr>
            <w:r>
              <w:rPr>
                <w:rFonts w:hint="eastAsia" w:ascii="宋体" w:hAnsi="宋体" w:eastAsia="宋体" w:cs="宋体"/>
                <w:color w:val="000000"/>
                <w:kern w:val="0"/>
                <w:sz w:val="22"/>
              </w:rPr>
              <w:t>制订体现高等职业教育特点的教师绩效评价标准；</w:t>
            </w:r>
            <w:r>
              <w:rPr>
                <w:rFonts w:ascii="Times New Roman" w:hAnsi="Times New Roman" w:eastAsia="宋体" w:cs="Times New Roman"/>
                <w:color w:val="000000"/>
                <w:kern w:val="0"/>
                <w:sz w:val="22"/>
              </w:rPr>
              <w:t xml:space="preserve"> 55</w:t>
            </w:r>
            <w:r>
              <w:rPr>
                <w:rFonts w:hint="eastAsia" w:ascii="宋体" w:hAnsi="宋体" w:eastAsia="宋体" w:cs="宋体"/>
                <w:color w:val="000000"/>
                <w:kern w:val="0"/>
                <w:sz w:val="22"/>
              </w:rPr>
              <w:t>岁以下的教授、副教授每学期至少讲授一门课程</w:t>
            </w:r>
          </w:p>
        </w:tc>
        <w:tc>
          <w:tcPr>
            <w:tcW w:w="1301"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人资部</w:t>
            </w:r>
          </w:p>
        </w:tc>
        <w:tc>
          <w:tcPr>
            <w:tcW w:w="899"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王杰</w:t>
            </w:r>
          </w:p>
        </w:tc>
        <w:tc>
          <w:tcPr>
            <w:tcW w:w="1191" w:type="dxa"/>
            <w:vAlign w:val="top"/>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0.6</w:t>
            </w:r>
          </w:p>
        </w:tc>
        <w:tc>
          <w:tcPr>
            <w:tcW w:w="989" w:type="dxa"/>
            <w:vAlign w:val="top"/>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2.2</w:t>
            </w:r>
          </w:p>
        </w:tc>
        <w:tc>
          <w:tcPr>
            <w:tcW w:w="989" w:type="dxa"/>
            <w:vAlign w:val="top"/>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2.2</w:t>
            </w:r>
          </w:p>
        </w:tc>
        <w:tc>
          <w:tcPr>
            <w:tcW w:w="986" w:type="dxa"/>
            <w:vAlign w:val="top"/>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40" w:hRule="atLeast"/>
        </w:trPr>
        <w:tc>
          <w:tcPr>
            <w:tcW w:w="1136" w:type="dxa"/>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RW-58</w:t>
            </w:r>
          </w:p>
        </w:tc>
        <w:tc>
          <w:tcPr>
            <w:tcW w:w="6683" w:type="dxa"/>
            <w:vAlign w:val="center"/>
          </w:tcPr>
          <w:p>
            <w:pPr>
              <w:widowControl/>
              <w:rPr>
                <w:rFonts w:ascii="宋体" w:hAnsi="宋体" w:eastAsia="宋体" w:cs="宋体"/>
                <w:color w:val="000000"/>
                <w:kern w:val="0"/>
                <w:sz w:val="22"/>
              </w:rPr>
            </w:pPr>
            <w:r>
              <w:rPr>
                <w:rFonts w:hint="eastAsia" w:ascii="宋体" w:hAnsi="宋体" w:eastAsia="宋体" w:cs="宋体"/>
                <w:color w:val="000000"/>
                <w:kern w:val="0"/>
                <w:sz w:val="22"/>
              </w:rPr>
              <w:t>加强高等职业教育研究机构和队伍建设，加大投入支持相关研究工作；有条件的高等职业院校建立专门教育研究机构，开展教学研究</w:t>
            </w:r>
          </w:p>
        </w:tc>
        <w:tc>
          <w:tcPr>
            <w:tcW w:w="1301"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科技室</w:t>
            </w:r>
          </w:p>
        </w:tc>
        <w:tc>
          <w:tcPr>
            <w:tcW w:w="899"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石峰</w:t>
            </w:r>
          </w:p>
        </w:tc>
        <w:tc>
          <w:tcPr>
            <w:tcW w:w="1191" w:type="dxa"/>
            <w:vAlign w:val="center"/>
          </w:tcPr>
          <w:p>
            <w:pPr>
              <w:widowControl/>
              <w:jc w:val="right"/>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30</w:t>
            </w:r>
          </w:p>
        </w:tc>
        <w:tc>
          <w:tcPr>
            <w:tcW w:w="989" w:type="dxa"/>
            <w:vAlign w:val="center"/>
          </w:tcPr>
          <w:p>
            <w:pPr>
              <w:widowControl/>
              <w:jc w:val="right"/>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32</w:t>
            </w:r>
          </w:p>
        </w:tc>
        <w:tc>
          <w:tcPr>
            <w:tcW w:w="989" w:type="dxa"/>
            <w:vAlign w:val="center"/>
          </w:tcPr>
          <w:p>
            <w:pPr>
              <w:widowControl/>
              <w:jc w:val="right"/>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32</w:t>
            </w:r>
          </w:p>
        </w:tc>
        <w:tc>
          <w:tcPr>
            <w:tcW w:w="986" w:type="dxa"/>
            <w:vAlign w:val="center"/>
          </w:tcPr>
          <w:p>
            <w:pPr>
              <w:widowControl/>
              <w:jc w:val="right"/>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00" w:hRule="atLeast"/>
        </w:trPr>
        <w:tc>
          <w:tcPr>
            <w:tcW w:w="1136" w:type="dxa"/>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RW-59</w:t>
            </w:r>
          </w:p>
        </w:tc>
        <w:tc>
          <w:tcPr>
            <w:tcW w:w="6683" w:type="dxa"/>
            <w:vAlign w:val="center"/>
          </w:tcPr>
          <w:p>
            <w:pPr>
              <w:widowControl/>
              <w:rPr>
                <w:rFonts w:ascii="宋体" w:hAnsi="宋体" w:eastAsia="宋体" w:cs="宋体"/>
                <w:color w:val="000000"/>
                <w:kern w:val="0"/>
                <w:sz w:val="22"/>
              </w:rPr>
            </w:pPr>
            <w:r>
              <w:rPr>
                <w:rFonts w:hint="eastAsia" w:ascii="宋体" w:hAnsi="宋体" w:eastAsia="宋体" w:cs="宋体"/>
                <w:color w:val="000000"/>
                <w:kern w:val="0"/>
                <w:sz w:val="22"/>
              </w:rPr>
              <w:t>贯彻落实《高等学校辅导员职业能力标准（暂行）》</w:t>
            </w:r>
          </w:p>
        </w:tc>
        <w:tc>
          <w:tcPr>
            <w:tcW w:w="1301"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学管部</w:t>
            </w:r>
          </w:p>
        </w:tc>
        <w:tc>
          <w:tcPr>
            <w:tcW w:w="899"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张蕊</w:t>
            </w:r>
          </w:p>
        </w:tc>
        <w:tc>
          <w:tcPr>
            <w:tcW w:w="1191" w:type="dxa"/>
            <w:vAlign w:val="top"/>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26</w:t>
            </w:r>
          </w:p>
        </w:tc>
        <w:tc>
          <w:tcPr>
            <w:tcW w:w="989" w:type="dxa"/>
            <w:vAlign w:val="top"/>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27</w:t>
            </w:r>
          </w:p>
        </w:tc>
        <w:tc>
          <w:tcPr>
            <w:tcW w:w="989" w:type="dxa"/>
            <w:vAlign w:val="top"/>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37</w:t>
            </w:r>
          </w:p>
        </w:tc>
        <w:tc>
          <w:tcPr>
            <w:tcW w:w="986" w:type="dxa"/>
            <w:vAlign w:val="top"/>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70" w:hRule="atLeast"/>
        </w:trPr>
        <w:tc>
          <w:tcPr>
            <w:tcW w:w="1136" w:type="dxa"/>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RW-60</w:t>
            </w:r>
          </w:p>
        </w:tc>
        <w:tc>
          <w:tcPr>
            <w:tcW w:w="6683" w:type="dxa"/>
            <w:vAlign w:val="center"/>
          </w:tcPr>
          <w:p>
            <w:pPr>
              <w:widowControl/>
              <w:rPr>
                <w:rFonts w:ascii="宋体" w:hAnsi="宋体" w:eastAsia="宋体" w:cs="宋体"/>
                <w:color w:val="000000"/>
                <w:kern w:val="0"/>
                <w:sz w:val="22"/>
              </w:rPr>
            </w:pPr>
            <w:r>
              <w:rPr>
                <w:rFonts w:hint="eastAsia" w:ascii="宋体" w:hAnsi="宋体" w:eastAsia="宋体" w:cs="宋体"/>
                <w:color w:val="000000"/>
                <w:kern w:val="0"/>
                <w:sz w:val="22"/>
              </w:rPr>
              <w:t>健全学生思想政治教育长效机制；高职院校按师生比</w:t>
            </w:r>
            <w:r>
              <w:rPr>
                <w:rFonts w:ascii="Times New Roman" w:hAnsi="Times New Roman" w:eastAsia="宋体" w:cs="Times New Roman"/>
                <w:color w:val="000000"/>
                <w:kern w:val="0"/>
                <w:sz w:val="22"/>
              </w:rPr>
              <w:t>1:200</w:t>
            </w:r>
            <w:r>
              <w:rPr>
                <w:rFonts w:hint="eastAsia" w:ascii="宋体" w:hAnsi="宋体" w:eastAsia="宋体" w:cs="宋体"/>
                <w:color w:val="000000"/>
                <w:kern w:val="0"/>
                <w:sz w:val="22"/>
              </w:rPr>
              <w:t>配备辅导员；心理健康教育全覆盖</w:t>
            </w:r>
          </w:p>
        </w:tc>
        <w:tc>
          <w:tcPr>
            <w:tcW w:w="1301"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党群部</w:t>
            </w:r>
          </w:p>
        </w:tc>
        <w:tc>
          <w:tcPr>
            <w:tcW w:w="899"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刘燕</w:t>
            </w:r>
          </w:p>
        </w:tc>
        <w:tc>
          <w:tcPr>
            <w:tcW w:w="1191" w:type="dxa"/>
            <w:vAlign w:val="top"/>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82.38</w:t>
            </w:r>
          </w:p>
        </w:tc>
        <w:tc>
          <w:tcPr>
            <w:tcW w:w="989" w:type="dxa"/>
            <w:vAlign w:val="top"/>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82.64</w:t>
            </w:r>
          </w:p>
        </w:tc>
        <w:tc>
          <w:tcPr>
            <w:tcW w:w="989" w:type="dxa"/>
            <w:vAlign w:val="top"/>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82.46</w:t>
            </w:r>
          </w:p>
        </w:tc>
        <w:tc>
          <w:tcPr>
            <w:tcW w:w="986" w:type="dxa"/>
            <w:vAlign w:val="top"/>
          </w:tcPr>
          <w:p>
            <w:pPr>
              <w:widowControl/>
              <w:jc w:val="right"/>
              <w:rPr>
                <w:rFonts w:ascii="宋体" w:hAnsi="宋体" w:eastAsia="宋体" w:cs="宋体"/>
                <w:color w:val="000000"/>
                <w:kern w:val="0"/>
                <w:szCs w:val="21"/>
              </w:rPr>
            </w:pPr>
            <w:r>
              <w:rPr>
                <w:rFonts w:hint="eastAsia" w:ascii="宋体" w:hAnsi="宋体" w:cs="宋体"/>
                <w:color w:val="000000"/>
                <w:kern w:val="0"/>
                <w:szCs w:val="21"/>
                <w:lang w:val="en-US" w:eastAsia="zh-CN"/>
              </w:rPr>
              <w:t>2</w:t>
            </w:r>
            <w:r>
              <w:rPr>
                <w:rFonts w:hint="eastAsia" w:ascii="宋体" w:hAnsi="宋体" w:eastAsia="宋体" w:cs="宋体"/>
                <w:color w:val="000000"/>
                <w:kern w:val="0"/>
                <w:szCs w:val="21"/>
              </w:rPr>
              <w:t>47.48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00" w:hRule="atLeast"/>
        </w:trPr>
        <w:tc>
          <w:tcPr>
            <w:tcW w:w="1136" w:type="dxa"/>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RW-61</w:t>
            </w:r>
          </w:p>
        </w:tc>
        <w:tc>
          <w:tcPr>
            <w:tcW w:w="6683" w:type="dxa"/>
            <w:vAlign w:val="center"/>
          </w:tcPr>
          <w:p>
            <w:pPr>
              <w:widowControl/>
              <w:rPr>
                <w:rFonts w:ascii="宋体" w:hAnsi="宋体" w:eastAsia="宋体" w:cs="宋体"/>
                <w:color w:val="000000"/>
                <w:kern w:val="0"/>
                <w:sz w:val="22"/>
              </w:rPr>
            </w:pPr>
            <w:r>
              <w:rPr>
                <w:rFonts w:hint="eastAsia" w:ascii="宋体" w:hAnsi="宋体" w:eastAsia="宋体" w:cs="宋体"/>
                <w:color w:val="000000"/>
                <w:kern w:val="0"/>
                <w:sz w:val="22"/>
              </w:rPr>
              <w:t>全面推进《全国大学生思想政治教育质量测评体系（试行）》</w:t>
            </w:r>
          </w:p>
        </w:tc>
        <w:tc>
          <w:tcPr>
            <w:tcW w:w="1301"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思政系</w:t>
            </w:r>
          </w:p>
        </w:tc>
        <w:tc>
          <w:tcPr>
            <w:tcW w:w="899"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靳媛</w:t>
            </w:r>
          </w:p>
        </w:tc>
        <w:tc>
          <w:tcPr>
            <w:tcW w:w="1191" w:type="dxa"/>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0.2</w:t>
            </w:r>
          </w:p>
        </w:tc>
        <w:tc>
          <w:tcPr>
            <w:tcW w:w="989" w:type="dxa"/>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989" w:type="dxa"/>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4.8</w:t>
            </w:r>
          </w:p>
        </w:tc>
        <w:tc>
          <w:tcPr>
            <w:tcW w:w="986" w:type="dxa"/>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00" w:hRule="atLeast"/>
        </w:trPr>
        <w:tc>
          <w:tcPr>
            <w:tcW w:w="1136" w:type="dxa"/>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RW-62</w:t>
            </w:r>
          </w:p>
        </w:tc>
        <w:tc>
          <w:tcPr>
            <w:tcW w:w="6683" w:type="dxa"/>
            <w:vAlign w:val="center"/>
          </w:tcPr>
          <w:p>
            <w:pPr>
              <w:widowControl/>
              <w:rPr>
                <w:rFonts w:ascii="宋体" w:hAnsi="宋体" w:eastAsia="宋体" w:cs="宋体"/>
                <w:color w:val="000000"/>
                <w:kern w:val="0"/>
                <w:sz w:val="22"/>
              </w:rPr>
            </w:pPr>
            <w:r>
              <w:rPr>
                <w:rFonts w:hint="eastAsia" w:ascii="宋体" w:hAnsi="宋体" w:eastAsia="宋体" w:cs="宋体"/>
                <w:color w:val="000000"/>
                <w:kern w:val="0"/>
                <w:sz w:val="22"/>
              </w:rPr>
              <w:t>创建平安校园、和谐校园</w:t>
            </w:r>
          </w:p>
        </w:tc>
        <w:tc>
          <w:tcPr>
            <w:tcW w:w="1301"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安保室</w:t>
            </w:r>
          </w:p>
        </w:tc>
        <w:tc>
          <w:tcPr>
            <w:tcW w:w="899"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毛建平</w:t>
            </w:r>
          </w:p>
        </w:tc>
        <w:tc>
          <w:tcPr>
            <w:tcW w:w="1191" w:type="dxa"/>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12.3</w:t>
            </w:r>
          </w:p>
        </w:tc>
        <w:tc>
          <w:tcPr>
            <w:tcW w:w="989" w:type="dxa"/>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220</w:t>
            </w:r>
          </w:p>
        </w:tc>
        <w:tc>
          <w:tcPr>
            <w:tcW w:w="989" w:type="dxa"/>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405</w:t>
            </w:r>
          </w:p>
        </w:tc>
        <w:tc>
          <w:tcPr>
            <w:tcW w:w="986" w:type="dxa"/>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637.3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00" w:hRule="atLeast"/>
        </w:trPr>
        <w:tc>
          <w:tcPr>
            <w:tcW w:w="1136" w:type="dxa"/>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RW-63</w:t>
            </w:r>
          </w:p>
        </w:tc>
        <w:tc>
          <w:tcPr>
            <w:tcW w:w="6683" w:type="dxa"/>
            <w:vAlign w:val="center"/>
          </w:tcPr>
          <w:p>
            <w:pPr>
              <w:widowControl/>
              <w:rPr>
                <w:rFonts w:ascii="宋体" w:hAnsi="宋体" w:eastAsia="宋体" w:cs="宋体"/>
                <w:color w:val="000000"/>
                <w:kern w:val="0"/>
                <w:sz w:val="22"/>
              </w:rPr>
            </w:pPr>
            <w:r>
              <w:rPr>
                <w:rFonts w:hint="eastAsia" w:ascii="宋体" w:hAnsi="宋体" w:eastAsia="宋体" w:cs="宋体"/>
                <w:color w:val="000000"/>
                <w:kern w:val="0"/>
                <w:sz w:val="22"/>
              </w:rPr>
              <w:t>落实《高等学校体育工作基本标准》</w:t>
            </w:r>
          </w:p>
        </w:tc>
        <w:tc>
          <w:tcPr>
            <w:tcW w:w="1301"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基础部</w:t>
            </w:r>
          </w:p>
        </w:tc>
        <w:tc>
          <w:tcPr>
            <w:tcW w:w="899"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吴文海</w:t>
            </w:r>
          </w:p>
        </w:tc>
        <w:tc>
          <w:tcPr>
            <w:tcW w:w="1191" w:type="dxa"/>
            <w:vAlign w:val="top"/>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989" w:type="dxa"/>
            <w:vAlign w:val="top"/>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66</w:t>
            </w:r>
          </w:p>
        </w:tc>
        <w:tc>
          <w:tcPr>
            <w:tcW w:w="989" w:type="dxa"/>
            <w:vAlign w:val="top"/>
          </w:tcPr>
          <w:p>
            <w:pPr>
              <w:widowControl/>
              <w:jc w:val="right"/>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12</w:t>
            </w:r>
          </w:p>
        </w:tc>
        <w:tc>
          <w:tcPr>
            <w:tcW w:w="986" w:type="dxa"/>
            <w:vAlign w:val="top"/>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00" w:hRule="atLeast"/>
        </w:trPr>
        <w:tc>
          <w:tcPr>
            <w:tcW w:w="1136" w:type="dxa"/>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RW-64</w:t>
            </w:r>
          </w:p>
        </w:tc>
        <w:tc>
          <w:tcPr>
            <w:tcW w:w="6683" w:type="dxa"/>
            <w:vAlign w:val="center"/>
          </w:tcPr>
          <w:p>
            <w:pPr>
              <w:widowControl/>
              <w:rPr>
                <w:rFonts w:ascii="宋体" w:hAnsi="宋体" w:eastAsia="宋体" w:cs="宋体"/>
                <w:color w:val="000000"/>
                <w:kern w:val="0"/>
                <w:sz w:val="22"/>
              </w:rPr>
            </w:pPr>
            <w:r>
              <w:rPr>
                <w:rFonts w:hint="eastAsia" w:ascii="宋体" w:hAnsi="宋体" w:eastAsia="宋体" w:cs="宋体"/>
                <w:color w:val="000000"/>
                <w:kern w:val="0"/>
                <w:sz w:val="22"/>
              </w:rPr>
              <w:t>加强文化素质教育；加强校园文化建设；支持学生社团活动</w:t>
            </w:r>
          </w:p>
        </w:tc>
        <w:tc>
          <w:tcPr>
            <w:tcW w:w="1301"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团委</w:t>
            </w:r>
          </w:p>
        </w:tc>
        <w:tc>
          <w:tcPr>
            <w:tcW w:w="899"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杜卫庆</w:t>
            </w:r>
          </w:p>
        </w:tc>
        <w:tc>
          <w:tcPr>
            <w:tcW w:w="1191" w:type="dxa"/>
            <w:vAlign w:val="center"/>
          </w:tcPr>
          <w:p>
            <w:pPr>
              <w:widowControl/>
              <w:jc w:val="right"/>
              <w:rPr>
                <w:rFonts w:ascii="宋体" w:hAnsi="宋体" w:eastAsia="宋体" w:cs="宋体"/>
                <w:color w:val="333333"/>
                <w:kern w:val="0"/>
                <w:szCs w:val="21"/>
              </w:rPr>
            </w:pPr>
            <w:r>
              <w:rPr>
                <w:rFonts w:hint="eastAsia" w:ascii="宋体" w:hAnsi="宋体" w:eastAsia="宋体" w:cs="宋体"/>
                <w:color w:val="333333"/>
                <w:kern w:val="0"/>
                <w:szCs w:val="21"/>
              </w:rPr>
              <w:t>6.5</w:t>
            </w:r>
          </w:p>
        </w:tc>
        <w:tc>
          <w:tcPr>
            <w:tcW w:w="989" w:type="dxa"/>
            <w:vAlign w:val="center"/>
          </w:tcPr>
          <w:p>
            <w:pPr>
              <w:widowControl/>
              <w:jc w:val="right"/>
              <w:rPr>
                <w:rFonts w:ascii="宋体" w:hAnsi="宋体" w:eastAsia="宋体" w:cs="宋体"/>
                <w:color w:val="333333"/>
                <w:kern w:val="0"/>
                <w:szCs w:val="21"/>
              </w:rPr>
            </w:pPr>
            <w:r>
              <w:rPr>
                <w:rFonts w:hint="eastAsia" w:ascii="宋体" w:hAnsi="宋体" w:eastAsia="宋体" w:cs="宋体"/>
                <w:color w:val="333333"/>
                <w:kern w:val="0"/>
                <w:szCs w:val="21"/>
              </w:rPr>
              <w:t>20</w:t>
            </w:r>
          </w:p>
        </w:tc>
        <w:tc>
          <w:tcPr>
            <w:tcW w:w="989" w:type="dxa"/>
            <w:vAlign w:val="center"/>
          </w:tcPr>
          <w:p>
            <w:pPr>
              <w:widowControl/>
              <w:jc w:val="right"/>
              <w:rPr>
                <w:rFonts w:ascii="宋体" w:hAnsi="宋体" w:eastAsia="宋体" w:cs="宋体"/>
                <w:color w:val="333333"/>
                <w:kern w:val="0"/>
                <w:szCs w:val="21"/>
              </w:rPr>
            </w:pPr>
            <w:r>
              <w:rPr>
                <w:rFonts w:hint="eastAsia" w:ascii="宋体" w:hAnsi="宋体" w:eastAsia="宋体" w:cs="宋体"/>
                <w:color w:val="333333"/>
                <w:kern w:val="0"/>
                <w:szCs w:val="21"/>
              </w:rPr>
              <w:t>47</w:t>
            </w:r>
          </w:p>
        </w:tc>
        <w:tc>
          <w:tcPr>
            <w:tcW w:w="986" w:type="dxa"/>
            <w:vAlign w:val="center"/>
          </w:tcPr>
          <w:p>
            <w:pPr>
              <w:widowControl/>
              <w:jc w:val="right"/>
              <w:rPr>
                <w:rFonts w:ascii="宋体" w:hAnsi="宋体" w:eastAsia="宋体" w:cs="宋体"/>
                <w:color w:val="333333"/>
                <w:kern w:val="0"/>
                <w:szCs w:val="21"/>
              </w:rPr>
            </w:pPr>
            <w:r>
              <w:rPr>
                <w:rFonts w:hint="eastAsia" w:ascii="宋体" w:hAnsi="宋体" w:eastAsia="宋体" w:cs="宋体"/>
                <w:color w:val="333333"/>
                <w:kern w:val="0"/>
                <w:szCs w:val="21"/>
              </w:rPr>
              <w:t>73.5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00" w:hRule="atLeast"/>
        </w:trPr>
        <w:tc>
          <w:tcPr>
            <w:tcW w:w="1136" w:type="dxa"/>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RW-65</w:t>
            </w:r>
          </w:p>
        </w:tc>
        <w:tc>
          <w:tcPr>
            <w:tcW w:w="6683" w:type="dxa"/>
            <w:vAlign w:val="center"/>
          </w:tcPr>
          <w:p>
            <w:pPr>
              <w:widowControl/>
              <w:rPr>
                <w:rFonts w:ascii="宋体" w:hAnsi="宋体" w:eastAsia="宋体" w:cs="宋体"/>
                <w:color w:val="000000"/>
                <w:kern w:val="0"/>
                <w:sz w:val="22"/>
              </w:rPr>
            </w:pPr>
            <w:r>
              <w:rPr>
                <w:rFonts w:hint="eastAsia" w:ascii="宋体" w:hAnsi="宋体" w:eastAsia="宋体" w:cs="宋体"/>
                <w:color w:val="000000"/>
                <w:kern w:val="0"/>
                <w:sz w:val="22"/>
              </w:rPr>
              <w:t>促进职业技能培养与职业精神养成相融合</w:t>
            </w:r>
          </w:p>
        </w:tc>
        <w:tc>
          <w:tcPr>
            <w:tcW w:w="1301"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教务</w:t>
            </w:r>
          </w:p>
        </w:tc>
        <w:tc>
          <w:tcPr>
            <w:tcW w:w="899"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左红梅</w:t>
            </w:r>
          </w:p>
        </w:tc>
        <w:tc>
          <w:tcPr>
            <w:tcW w:w="1191" w:type="dxa"/>
            <w:vAlign w:val="top"/>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989" w:type="dxa"/>
            <w:vAlign w:val="top"/>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45</w:t>
            </w:r>
          </w:p>
        </w:tc>
        <w:tc>
          <w:tcPr>
            <w:tcW w:w="989" w:type="dxa"/>
            <w:vAlign w:val="top"/>
          </w:tcPr>
          <w:p>
            <w:pPr>
              <w:widowControl/>
              <w:jc w:val="right"/>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45</w:t>
            </w:r>
          </w:p>
        </w:tc>
        <w:tc>
          <w:tcPr>
            <w:tcW w:w="986" w:type="dxa"/>
            <w:vAlign w:val="top"/>
          </w:tcPr>
          <w:p>
            <w:pPr>
              <w:widowControl/>
              <w:jc w:val="right"/>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87" w:hRule="atLeast"/>
        </w:trPr>
        <w:tc>
          <w:tcPr>
            <w:tcW w:w="1136" w:type="dxa"/>
            <w:vAlign w:val="center"/>
          </w:tcPr>
          <w:p>
            <w:pPr>
              <w:widowControl/>
              <w:jc w:val="center"/>
              <w:rPr>
                <w:rFonts w:ascii="Times New Roman" w:hAnsi="Times New Roman" w:eastAsia="宋体" w:cs="Times New Roman"/>
                <w:color w:val="000000"/>
                <w:kern w:val="0"/>
                <w:sz w:val="22"/>
              </w:rPr>
            </w:pPr>
          </w:p>
        </w:tc>
        <w:tc>
          <w:tcPr>
            <w:tcW w:w="6683" w:type="dxa"/>
            <w:vAlign w:val="center"/>
          </w:tcPr>
          <w:p>
            <w:pPr>
              <w:widowControl/>
              <w:rPr>
                <w:rFonts w:hint="eastAsia" w:ascii="宋体" w:hAnsi="宋体" w:eastAsia="宋体" w:cs="宋体"/>
                <w:color w:val="000000"/>
                <w:kern w:val="0"/>
                <w:sz w:val="22"/>
              </w:rPr>
            </w:pPr>
            <w:r>
              <w:rPr>
                <w:rFonts w:hint="eastAsia" w:ascii="宋体" w:hAnsi="宋体" w:eastAsia="宋体" w:cs="宋体"/>
                <w:color w:val="000000"/>
                <w:kern w:val="0"/>
                <w:sz w:val="22"/>
              </w:rPr>
              <w:t>合计</w:t>
            </w:r>
          </w:p>
        </w:tc>
        <w:tc>
          <w:tcPr>
            <w:tcW w:w="1301" w:type="dxa"/>
            <w:vAlign w:val="center"/>
          </w:tcPr>
          <w:p>
            <w:pPr>
              <w:widowControl/>
              <w:jc w:val="center"/>
              <w:rPr>
                <w:rFonts w:hint="eastAsia" w:ascii="宋体" w:hAnsi="宋体" w:eastAsia="宋体" w:cs="宋体"/>
                <w:color w:val="000000"/>
                <w:kern w:val="0"/>
                <w:sz w:val="22"/>
              </w:rPr>
            </w:pPr>
          </w:p>
        </w:tc>
        <w:tc>
          <w:tcPr>
            <w:tcW w:w="899" w:type="dxa"/>
            <w:vAlign w:val="center"/>
          </w:tcPr>
          <w:p>
            <w:pPr>
              <w:widowControl/>
              <w:jc w:val="center"/>
              <w:rPr>
                <w:rFonts w:hint="eastAsia" w:ascii="宋体" w:hAnsi="宋体" w:eastAsia="宋体" w:cs="宋体"/>
                <w:color w:val="000000"/>
                <w:kern w:val="0"/>
                <w:sz w:val="22"/>
              </w:rPr>
            </w:pPr>
          </w:p>
        </w:tc>
        <w:tc>
          <w:tcPr>
            <w:tcW w:w="1191" w:type="dxa"/>
            <w:vAlign w:val="top"/>
          </w:tcPr>
          <w:p>
            <w:pPr>
              <w:widowControl/>
              <w:jc w:val="right"/>
              <w:rPr>
                <w:rFonts w:hint="eastAsia" w:ascii="宋体" w:hAnsi="宋体" w:eastAsia="宋体" w:cs="宋体"/>
                <w:color w:val="000000"/>
                <w:kern w:val="0"/>
                <w:szCs w:val="21"/>
              </w:rPr>
            </w:pPr>
            <w:r>
              <w:rPr>
                <w:rFonts w:hint="eastAsia" w:ascii="宋体" w:hAnsi="宋体" w:cs="宋体"/>
                <w:color w:val="000000"/>
                <w:kern w:val="0"/>
                <w:szCs w:val="21"/>
                <w:lang w:eastAsia="zh-CN"/>
              </w:rPr>
              <w:fldChar w:fldCharType="begin"/>
            </w:r>
            <w:r>
              <w:rPr>
                <w:rFonts w:hint="eastAsia" w:ascii="宋体" w:hAnsi="宋体" w:cs="宋体"/>
                <w:color w:val="000000"/>
                <w:kern w:val="0"/>
                <w:szCs w:val="21"/>
                <w:lang w:eastAsia="zh-CN"/>
              </w:rPr>
              <w:instrText xml:space="preserve"> =SUM(ABOVE) \* MERGEFORMAT </w:instrText>
            </w:r>
            <w:r>
              <w:rPr>
                <w:rFonts w:hint="eastAsia" w:ascii="宋体" w:hAnsi="宋体" w:cs="宋体"/>
                <w:color w:val="000000"/>
                <w:kern w:val="0"/>
                <w:szCs w:val="21"/>
                <w:lang w:eastAsia="zh-CN"/>
              </w:rPr>
              <w:fldChar w:fldCharType="separate"/>
            </w:r>
            <w:r>
              <w:rPr>
                <w:rFonts w:hint="eastAsia" w:ascii="宋体" w:hAnsi="宋体" w:cs="宋体"/>
                <w:color w:val="000000"/>
                <w:kern w:val="0"/>
                <w:szCs w:val="21"/>
                <w:lang w:eastAsia="zh-CN"/>
              </w:rPr>
              <w:t>839.56</w:t>
            </w:r>
            <w:r>
              <w:rPr>
                <w:rFonts w:hint="eastAsia" w:ascii="宋体" w:hAnsi="宋体" w:cs="宋体"/>
                <w:color w:val="000000"/>
                <w:kern w:val="0"/>
                <w:szCs w:val="21"/>
                <w:lang w:eastAsia="zh-CN"/>
              </w:rPr>
              <w:fldChar w:fldCharType="end"/>
            </w:r>
          </w:p>
        </w:tc>
        <w:tc>
          <w:tcPr>
            <w:tcW w:w="989" w:type="dxa"/>
            <w:vAlign w:val="top"/>
          </w:tcPr>
          <w:p>
            <w:pPr>
              <w:widowControl/>
              <w:jc w:val="right"/>
              <w:rPr>
                <w:rFonts w:hint="eastAsia" w:ascii="宋体" w:hAnsi="宋体" w:eastAsia="宋体" w:cs="宋体"/>
                <w:color w:val="000000"/>
                <w:kern w:val="0"/>
                <w:szCs w:val="21"/>
              </w:rPr>
            </w:pPr>
            <w:r>
              <w:rPr>
                <w:rFonts w:hint="eastAsia" w:ascii="宋体" w:hAnsi="宋体" w:cs="宋体"/>
                <w:color w:val="000000"/>
                <w:kern w:val="0"/>
                <w:szCs w:val="21"/>
                <w:lang w:eastAsia="zh-CN"/>
              </w:rPr>
              <w:fldChar w:fldCharType="begin"/>
            </w:r>
            <w:r>
              <w:rPr>
                <w:rFonts w:hint="eastAsia" w:ascii="宋体" w:hAnsi="宋体" w:cs="宋体"/>
                <w:color w:val="000000"/>
                <w:kern w:val="0"/>
                <w:szCs w:val="21"/>
                <w:lang w:eastAsia="zh-CN"/>
              </w:rPr>
              <w:instrText xml:space="preserve"> =SUM(ABOVE) \* MERGEFORMAT </w:instrText>
            </w:r>
            <w:r>
              <w:rPr>
                <w:rFonts w:hint="eastAsia" w:ascii="宋体" w:hAnsi="宋体" w:cs="宋体"/>
                <w:color w:val="000000"/>
                <w:kern w:val="0"/>
                <w:szCs w:val="21"/>
                <w:lang w:eastAsia="zh-CN"/>
              </w:rPr>
              <w:fldChar w:fldCharType="separate"/>
            </w:r>
            <w:r>
              <w:rPr>
                <w:rFonts w:hint="eastAsia" w:ascii="宋体" w:hAnsi="宋体" w:cs="宋体"/>
                <w:color w:val="000000"/>
                <w:kern w:val="0"/>
                <w:szCs w:val="21"/>
                <w:lang w:eastAsia="zh-CN"/>
              </w:rPr>
              <w:t>1274.52</w:t>
            </w:r>
            <w:r>
              <w:rPr>
                <w:rFonts w:hint="eastAsia" w:ascii="宋体" w:hAnsi="宋体" w:cs="宋体"/>
                <w:color w:val="000000"/>
                <w:kern w:val="0"/>
                <w:szCs w:val="21"/>
                <w:lang w:eastAsia="zh-CN"/>
              </w:rPr>
              <w:fldChar w:fldCharType="end"/>
            </w:r>
          </w:p>
        </w:tc>
        <w:tc>
          <w:tcPr>
            <w:tcW w:w="989" w:type="dxa"/>
            <w:vAlign w:val="top"/>
          </w:tcPr>
          <w:p>
            <w:pPr>
              <w:widowControl/>
              <w:jc w:val="right"/>
              <w:rPr>
                <w:rFonts w:hint="eastAsia" w:ascii="宋体" w:hAnsi="宋体" w:cs="宋体"/>
                <w:color w:val="000000"/>
                <w:kern w:val="0"/>
                <w:szCs w:val="21"/>
                <w:lang w:val="en-US" w:eastAsia="zh-CN"/>
              </w:rPr>
            </w:pPr>
            <w:r>
              <w:rPr>
                <w:rFonts w:hint="eastAsia" w:ascii="宋体" w:hAnsi="宋体" w:cs="宋体"/>
                <w:color w:val="000000"/>
                <w:kern w:val="0"/>
                <w:szCs w:val="21"/>
                <w:lang w:eastAsia="zh-CN"/>
              </w:rPr>
              <w:fldChar w:fldCharType="begin"/>
            </w:r>
            <w:r>
              <w:rPr>
                <w:rFonts w:hint="eastAsia" w:ascii="宋体" w:hAnsi="宋体" w:cs="宋体"/>
                <w:color w:val="000000"/>
                <w:kern w:val="0"/>
                <w:szCs w:val="21"/>
                <w:lang w:eastAsia="zh-CN"/>
              </w:rPr>
              <w:instrText xml:space="preserve"> =SUM(ABOVE) \* MERGEFORMAT </w:instrText>
            </w:r>
            <w:r>
              <w:rPr>
                <w:rFonts w:hint="eastAsia" w:ascii="宋体" w:hAnsi="宋体" w:cs="宋体"/>
                <w:color w:val="000000"/>
                <w:kern w:val="0"/>
                <w:szCs w:val="21"/>
                <w:lang w:eastAsia="zh-CN"/>
              </w:rPr>
              <w:fldChar w:fldCharType="separate"/>
            </w:r>
            <w:r>
              <w:rPr>
                <w:rFonts w:hint="eastAsia" w:ascii="宋体" w:hAnsi="宋体" w:cs="宋体"/>
                <w:color w:val="000000"/>
                <w:kern w:val="0"/>
                <w:szCs w:val="21"/>
                <w:lang w:eastAsia="zh-CN"/>
              </w:rPr>
              <w:t>1841.64</w:t>
            </w:r>
            <w:r>
              <w:rPr>
                <w:rFonts w:hint="eastAsia" w:ascii="宋体" w:hAnsi="宋体" w:cs="宋体"/>
                <w:color w:val="000000"/>
                <w:kern w:val="0"/>
                <w:szCs w:val="21"/>
                <w:lang w:eastAsia="zh-CN"/>
              </w:rPr>
              <w:fldChar w:fldCharType="end"/>
            </w:r>
          </w:p>
        </w:tc>
        <w:tc>
          <w:tcPr>
            <w:tcW w:w="986" w:type="dxa"/>
            <w:vAlign w:val="top"/>
          </w:tcPr>
          <w:p>
            <w:pPr>
              <w:widowControl/>
              <w:jc w:val="right"/>
              <w:rPr>
                <w:rFonts w:hint="eastAsia" w:ascii="宋体" w:hAnsi="宋体" w:cs="宋体"/>
                <w:color w:val="000000"/>
                <w:kern w:val="0"/>
                <w:szCs w:val="21"/>
                <w:lang w:eastAsia="zh-CN"/>
              </w:rPr>
            </w:pPr>
            <w:r>
              <w:rPr>
                <w:rFonts w:hint="eastAsia" w:ascii="宋体" w:hAnsi="宋体" w:cs="宋体"/>
                <w:color w:val="000000"/>
                <w:kern w:val="0"/>
                <w:szCs w:val="21"/>
                <w:lang w:eastAsia="zh-CN"/>
              </w:rPr>
              <w:fldChar w:fldCharType="begin"/>
            </w:r>
            <w:r>
              <w:rPr>
                <w:rFonts w:hint="eastAsia" w:ascii="宋体" w:hAnsi="宋体" w:cs="宋体"/>
                <w:color w:val="000000"/>
                <w:kern w:val="0"/>
                <w:szCs w:val="21"/>
                <w:lang w:eastAsia="zh-CN"/>
              </w:rPr>
              <w:instrText xml:space="preserve"> =SUM(ABOVE) \* MERGEFORMAT </w:instrText>
            </w:r>
            <w:r>
              <w:rPr>
                <w:rFonts w:hint="eastAsia" w:ascii="宋体" w:hAnsi="宋体" w:cs="宋体"/>
                <w:color w:val="000000"/>
                <w:kern w:val="0"/>
                <w:szCs w:val="21"/>
                <w:lang w:eastAsia="zh-CN"/>
              </w:rPr>
              <w:fldChar w:fldCharType="separate"/>
            </w:r>
            <w:r>
              <w:rPr>
                <w:rFonts w:hint="eastAsia" w:ascii="宋体" w:hAnsi="宋体" w:cs="宋体"/>
                <w:color w:val="000000"/>
                <w:kern w:val="0"/>
                <w:szCs w:val="21"/>
                <w:lang w:eastAsia="zh-CN"/>
              </w:rPr>
              <w:t>3955.72</w:t>
            </w:r>
            <w:r>
              <w:rPr>
                <w:rFonts w:hint="eastAsia" w:ascii="宋体" w:hAnsi="宋体" w:cs="宋体"/>
                <w:color w:val="000000"/>
                <w:kern w:val="0"/>
                <w:szCs w:val="21"/>
                <w:lang w:eastAsia="zh-CN"/>
              </w:rPr>
              <w:fldChar w:fldCharType="end"/>
            </w:r>
          </w:p>
        </w:tc>
      </w:tr>
    </w:tbl>
    <w:p>
      <w:pPr>
        <w:spacing w:line="360" w:lineRule="auto"/>
        <w:jc w:val="left"/>
        <w:rPr>
          <w:rFonts w:ascii="仿宋" w:hAnsi="仿宋" w:eastAsia="仿宋" w:cs="宋体"/>
          <w:b/>
          <w:kern w:val="36"/>
          <w:sz w:val="32"/>
          <w:szCs w:val="32"/>
        </w:rPr>
      </w:pPr>
    </w:p>
    <w:p>
      <w:pPr>
        <w:widowControl/>
        <w:jc w:val="left"/>
        <w:rPr>
          <w:rFonts w:ascii="仿宋" w:hAnsi="仿宋" w:eastAsia="仿宋" w:cs="宋体"/>
          <w:b/>
          <w:kern w:val="36"/>
          <w:sz w:val="32"/>
          <w:szCs w:val="32"/>
        </w:rPr>
      </w:pPr>
      <w:r>
        <w:rPr>
          <w:rFonts w:ascii="仿宋" w:hAnsi="仿宋" w:eastAsia="仿宋" w:cs="宋体"/>
          <w:b/>
          <w:kern w:val="36"/>
          <w:sz w:val="32"/>
          <w:szCs w:val="32"/>
        </w:rPr>
        <w:br w:type="page"/>
      </w:r>
    </w:p>
    <w:p>
      <w:pPr>
        <w:widowControl/>
        <w:jc w:val="left"/>
        <w:rPr>
          <w:rFonts w:hint="eastAsia" w:ascii="方正小标宋简体" w:hAnsi="宋体" w:eastAsia="方正小标宋简体" w:cs="宋体"/>
          <w:color w:val="000000"/>
          <w:kern w:val="0"/>
          <w:sz w:val="36"/>
          <w:szCs w:val="36"/>
        </w:rPr>
      </w:pPr>
      <w:r>
        <w:rPr>
          <w:rFonts w:hint="eastAsia" w:ascii="仿宋" w:hAnsi="仿宋" w:eastAsia="仿宋" w:cs="宋体"/>
          <w:b/>
          <w:kern w:val="36"/>
          <w:sz w:val="32"/>
          <w:szCs w:val="32"/>
        </w:rPr>
        <w:t>附表2：</w:t>
      </w:r>
    </w:p>
    <w:p>
      <w:pPr>
        <w:widowControl/>
        <w:jc w:val="center"/>
        <w:rPr>
          <w:rFonts w:ascii="方正小标宋简体" w:hAnsi="宋体" w:eastAsia="方正小标宋简体" w:cs="宋体"/>
          <w:color w:val="000000"/>
          <w:kern w:val="0"/>
          <w:sz w:val="36"/>
          <w:szCs w:val="36"/>
        </w:rPr>
      </w:pPr>
      <w:r>
        <w:rPr>
          <w:rFonts w:hint="eastAsia" w:ascii="方正小标宋简体" w:hAnsi="宋体" w:eastAsia="方正小标宋简体" w:cs="宋体"/>
          <w:color w:val="000000"/>
          <w:kern w:val="0"/>
          <w:sz w:val="36"/>
          <w:szCs w:val="36"/>
        </w:rPr>
        <w:t>西安电力高等专科学校承担高等职业教育创新发展行动计划（</w:t>
      </w:r>
      <w:r>
        <w:rPr>
          <w:rFonts w:ascii="Times New Roman" w:hAnsi="Times New Roman" w:eastAsia="方正小标宋简体" w:cs="Times New Roman"/>
          <w:color w:val="000000"/>
          <w:kern w:val="0"/>
          <w:sz w:val="36"/>
          <w:szCs w:val="36"/>
        </w:rPr>
        <w:t>2015-2018</w:t>
      </w:r>
      <w:r>
        <w:rPr>
          <w:rFonts w:hint="eastAsia" w:ascii="方正小标宋简体" w:hAnsi="宋体" w:eastAsia="方正小标宋简体" w:cs="宋体"/>
          <w:color w:val="000000"/>
          <w:kern w:val="0"/>
          <w:sz w:val="36"/>
          <w:szCs w:val="36"/>
        </w:rPr>
        <w:t>年）项目一栏表</w:t>
      </w:r>
    </w:p>
    <w:tbl>
      <w:tblPr>
        <w:tblW w:w="14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65"/>
        <w:gridCol w:w="2852"/>
        <w:gridCol w:w="3391"/>
        <w:gridCol w:w="1109"/>
        <w:gridCol w:w="1954"/>
        <w:gridCol w:w="965"/>
        <w:gridCol w:w="986"/>
        <w:gridCol w:w="986"/>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blHeader/>
        </w:trPr>
        <w:tc>
          <w:tcPr>
            <w:tcW w:w="965" w:type="dxa"/>
            <w:vMerge w:val="restart"/>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编号</w:t>
            </w:r>
          </w:p>
        </w:tc>
        <w:tc>
          <w:tcPr>
            <w:tcW w:w="2852" w:type="dxa"/>
            <w:vMerge w:val="restart"/>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项目名称</w:t>
            </w:r>
          </w:p>
        </w:tc>
        <w:tc>
          <w:tcPr>
            <w:tcW w:w="3391" w:type="dxa"/>
            <w:vMerge w:val="restart"/>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具体项目</w:t>
            </w:r>
          </w:p>
        </w:tc>
        <w:tc>
          <w:tcPr>
            <w:tcW w:w="1109" w:type="dxa"/>
            <w:vMerge w:val="restart"/>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责任部门</w:t>
            </w:r>
          </w:p>
        </w:tc>
        <w:tc>
          <w:tcPr>
            <w:tcW w:w="1954" w:type="dxa"/>
            <w:vMerge w:val="restart"/>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责任人</w:t>
            </w:r>
          </w:p>
        </w:tc>
        <w:tc>
          <w:tcPr>
            <w:tcW w:w="3903" w:type="dxa"/>
            <w:gridSpan w:val="4"/>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经费（万元）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blHeader/>
        </w:trPr>
        <w:tc>
          <w:tcPr>
            <w:tcW w:w="965" w:type="dxa"/>
            <w:vMerge w:val="continue"/>
            <w:vAlign w:val="center"/>
          </w:tcPr>
          <w:p>
            <w:pPr>
              <w:widowControl/>
              <w:jc w:val="left"/>
              <w:rPr>
                <w:rFonts w:ascii="宋体" w:hAnsi="宋体" w:eastAsia="宋体" w:cs="宋体"/>
                <w:b/>
                <w:bCs/>
                <w:color w:val="000000"/>
                <w:kern w:val="0"/>
                <w:sz w:val="22"/>
              </w:rPr>
            </w:pPr>
          </w:p>
        </w:tc>
        <w:tc>
          <w:tcPr>
            <w:tcW w:w="2852" w:type="dxa"/>
            <w:vMerge w:val="continue"/>
            <w:vAlign w:val="center"/>
          </w:tcPr>
          <w:p>
            <w:pPr>
              <w:widowControl/>
              <w:jc w:val="left"/>
              <w:rPr>
                <w:rFonts w:ascii="宋体" w:hAnsi="宋体" w:eastAsia="宋体" w:cs="宋体"/>
                <w:b/>
                <w:bCs/>
                <w:color w:val="000000"/>
                <w:kern w:val="0"/>
                <w:sz w:val="22"/>
              </w:rPr>
            </w:pPr>
          </w:p>
        </w:tc>
        <w:tc>
          <w:tcPr>
            <w:tcW w:w="3391" w:type="dxa"/>
            <w:vMerge w:val="continue"/>
            <w:vAlign w:val="center"/>
          </w:tcPr>
          <w:p>
            <w:pPr>
              <w:widowControl/>
              <w:jc w:val="left"/>
              <w:rPr>
                <w:rFonts w:ascii="宋体" w:hAnsi="宋体" w:eastAsia="宋体" w:cs="宋体"/>
                <w:b/>
                <w:bCs/>
                <w:color w:val="000000"/>
                <w:kern w:val="0"/>
                <w:sz w:val="22"/>
              </w:rPr>
            </w:pPr>
          </w:p>
        </w:tc>
        <w:tc>
          <w:tcPr>
            <w:tcW w:w="1109" w:type="dxa"/>
            <w:vMerge w:val="continue"/>
            <w:vAlign w:val="center"/>
          </w:tcPr>
          <w:p>
            <w:pPr>
              <w:widowControl/>
              <w:jc w:val="left"/>
              <w:rPr>
                <w:rFonts w:ascii="宋体" w:hAnsi="宋体" w:eastAsia="宋体" w:cs="宋体"/>
                <w:b/>
                <w:bCs/>
                <w:color w:val="000000"/>
                <w:kern w:val="0"/>
                <w:sz w:val="22"/>
              </w:rPr>
            </w:pPr>
          </w:p>
        </w:tc>
        <w:tc>
          <w:tcPr>
            <w:tcW w:w="1954" w:type="dxa"/>
            <w:vMerge w:val="continue"/>
            <w:vAlign w:val="center"/>
          </w:tcPr>
          <w:p>
            <w:pPr>
              <w:widowControl/>
              <w:jc w:val="left"/>
              <w:rPr>
                <w:rFonts w:ascii="宋体" w:hAnsi="宋体" w:eastAsia="宋体" w:cs="宋体"/>
                <w:b/>
                <w:bCs/>
                <w:color w:val="000000"/>
                <w:kern w:val="0"/>
                <w:sz w:val="22"/>
              </w:rPr>
            </w:pPr>
          </w:p>
        </w:tc>
        <w:tc>
          <w:tcPr>
            <w:tcW w:w="965" w:type="dxa"/>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2016年</w:t>
            </w:r>
          </w:p>
        </w:tc>
        <w:tc>
          <w:tcPr>
            <w:tcW w:w="986" w:type="dxa"/>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2017年</w:t>
            </w:r>
          </w:p>
        </w:tc>
        <w:tc>
          <w:tcPr>
            <w:tcW w:w="986" w:type="dxa"/>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2018年</w:t>
            </w:r>
          </w:p>
        </w:tc>
        <w:tc>
          <w:tcPr>
            <w:tcW w:w="966" w:type="dxa"/>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00" w:hRule="atLeast"/>
        </w:trPr>
        <w:tc>
          <w:tcPr>
            <w:tcW w:w="965" w:type="dxa"/>
            <w:vMerge w:val="restart"/>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XM-1</w:t>
            </w:r>
          </w:p>
        </w:tc>
        <w:tc>
          <w:tcPr>
            <w:tcW w:w="2852" w:type="dxa"/>
            <w:vMerge w:val="restart"/>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骨干专业建设（150个左右）</w:t>
            </w:r>
          </w:p>
        </w:tc>
        <w:tc>
          <w:tcPr>
            <w:tcW w:w="3391" w:type="dxa"/>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发电厂及电力系统</w:t>
            </w:r>
          </w:p>
        </w:tc>
        <w:tc>
          <w:tcPr>
            <w:tcW w:w="1109" w:type="dxa"/>
            <w:vMerge w:val="restart"/>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电力系</w:t>
            </w:r>
          </w:p>
        </w:tc>
        <w:tc>
          <w:tcPr>
            <w:tcW w:w="1954"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刘琪</w:t>
            </w:r>
          </w:p>
        </w:tc>
        <w:tc>
          <w:tcPr>
            <w:tcW w:w="965" w:type="dxa"/>
            <w:vAlign w:val="top"/>
          </w:tcPr>
          <w:p>
            <w:pPr>
              <w:widowControl/>
              <w:jc w:val="righ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70</w:t>
            </w:r>
          </w:p>
        </w:tc>
        <w:tc>
          <w:tcPr>
            <w:tcW w:w="986" w:type="dxa"/>
            <w:vAlign w:val="top"/>
          </w:tcPr>
          <w:p>
            <w:pPr>
              <w:widowControl/>
              <w:jc w:val="righ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75</w:t>
            </w:r>
          </w:p>
        </w:tc>
        <w:tc>
          <w:tcPr>
            <w:tcW w:w="986" w:type="dxa"/>
            <w:vAlign w:val="top"/>
          </w:tcPr>
          <w:p>
            <w:pPr>
              <w:widowControl/>
              <w:jc w:val="righ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55</w:t>
            </w:r>
          </w:p>
        </w:tc>
        <w:tc>
          <w:tcPr>
            <w:tcW w:w="966" w:type="dxa"/>
            <w:vAlign w:val="top"/>
          </w:tcPr>
          <w:p>
            <w:pPr>
              <w:widowControl/>
              <w:jc w:val="righ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00" w:hRule="atLeast"/>
        </w:trPr>
        <w:tc>
          <w:tcPr>
            <w:tcW w:w="965" w:type="dxa"/>
            <w:vMerge w:val="continue"/>
            <w:vAlign w:val="center"/>
          </w:tcPr>
          <w:p>
            <w:pPr>
              <w:widowControl/>
              <w:jc w:val="left"/>
              <w:rPr>
                <w:rFonts w:ascii="Times New Roman" w:hAnsi="Times New Roman" w:eastAsia="宋体" w:cs="Times New Roman"/>
                <w:color w:val="000000"/>
                <w:kern w:val="0"/>
                <w:sz w:val="22"/>
              </w:rPr>
            </w:pPr>
          </w:p>
        </w:tc>
        <w:tc>
          <w:tcPr>
            <w:tcW w:w="2852" w:type="dxa"/>
            <w:vMerge w:val="continue"/>
            <w:vAlign w:val="center"/>
          </w:tcPr>
          <w:p>
            <w:pPr>
              <w:widowControl/>
              <w:jc w:val="left"/>
              <w:rPr>
                <w:rFonts w:ascii="宋体" w:hAnsi="宋体" w:eastAsia="宋体" w:cs="宋体"/>
                <w:color w:val="000000"/>
                <w:kern w:val="0"/>
                <w:sz w:val="22"/>
              </w:rPr>
            </w:pPr>
          </w:p>
        </w:tc>
        <w:tc>
          <w:tcPr>
            <w:tcW w:w="3391" w:type="dxa"/>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供用电技术</w:t>
            </w:r>
          </w:p>
        </w:tc>
        <w:tc>
          <w:tcPr>
            <w:tcW w:w="1109" w:type="dxa"/>
            <w:vMerge w:val="continue"/>
            <w:vAlign w:val="center"/>
          </w:tcPr>
          <w:p>
            <w:pPr>
              <w:widowControl/>
              <w:jc w:val="left"/>
              <w:rPr>
                <w:rFonts w:ascii="宋体" w:hAnsi="宋体" w:eastAsia="宋体" w:cs="宋体"/>
                <w:color w:val="000000"/>
                <w:kern w:val="0"/>
                <w:sz w:val="22"/>
              </w:rPr>
            </w:pPr>
          </w:p>
        </w:tc>
        <w:tc>
          <w:tcPr>
            <w:tcW w:w="1954"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董榕</w:t>
            </w:r>
          </w:p>
        </w:tc>
        <w:tc>
          <w:tcPr>
            <w:tcW w:w="965" w:type="dxa"/>
            <w:vAlign w:val="center"/>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31</w:t>
            </w:r>
          </w:p>
        </w:tc>
        <w:tc>
          <w:tcPr>
            <w:tcW w:w="986" w:type="dxa"/>
            <w:vAlign w:val="center"/>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57</w:t>
            </w:r>
          </w:p>
        </w:tc>
        <w:tc>
          <w:tcPr>
            <w:tcW w:w="986" w:type="dxa"/>
            <w:vAlign w:val="center"/>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112</w:t>
            </w:r>
          </w:p>
        </w:tc>
        <w:tc>
          <w:tcPr>
            <w:tcW w:w="966" w:type="dxa"/>
            <w:vAlign w:val="center"/>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00" w:hRule="atLeast"/>
        </w:trPr>
        <w:tc>
          <w:tcPr>
            <w:tcW w:w="965" w:type="dxa"/>
            <w:vMerge w:val="continue"/>
            <w:vAlign w:val="center"/>
          </w:tcPr>
          <w:p>
            <w:pPr>
              <w:widowControl/>
              <w:jc w:val="left"/>
              <w:rPr>
                <w:rFonts w:ascii="Times New Roman" w:hAnsi="Times New Roman" w:eastAsia="宋体" w:cs="Times New Roman"/>
                <w:color w:val="000000"/>
                <w:kern w:val="0"/>
                <w:sz w:val="22"/>
              </w:rPr>
            </w:pPr>
          </w:p>
        </w:tc>
        <w:tc>
          <w:tcPr>
            <w:tcW w:w="2852" w:type="dxa"/>
            <w:vMerge w:val="continue"/>
            <w:vAlign w:val="center"/>
          </w:tcPr>
          <w:p>
            <w:pPr>
              <w:widowControl/>
              <w:jc w:val="left"/>
              <w:rPr>
                <w:rFonts w:ascii="宋体" w:hAnsi="宋体" w:eastAsia="宋体" w:cs="宋体"/>
                <w:color w:val="000000"/>
                <w:kern w:val="0"/>
                <w:sz w:val="22"/>
              </w:rPr>
            </w:pPr>
          </w:p>
        </w:tc>
        <w:tc>
          <w:tcPr>
            <w:tcW w:w="3391" w:type="dxa"/>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电力系统继电保护与自动化技术</w:t>
            </w:r>
          </w:p>
        </w:tc>
        <w:tc>
          <w:tcPr>
            <w:tcW w:w="1109" w:type="dxa"/>
            <w:vMerge w:val="continue"/>
            <w:vAlign w:val="center"/>
          </w:tcPr>
          <w:p>
            <w:pPr>
              <w:widowControl/>
              <w:jc w:val="left"/>
              <w:rPr>
                <w:rFonts w:ascii="宋体" w:hAnsi="宋体" w:eastAsia="宋体" w:cs="宋体"/>
                <w:color w:val="000000"/>
                <w:kern w:val="0"/>
                <w:sz w:val="22"/>
              </w:rPr>
            </w:pPr>
          </w:p>
        </w:tc>
        <w:tc>
          <w:tcPr>
            <w:tcW w:w="1954"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王艳</w:t>
            </w:r>
          </w:p>
        </w:tc>
        <w:tc>
          <w:tcPr>
            <w:tcW w:w="965" w:type="dxa"/>
            <w:vAlign w:val="center"/>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31</w:t>
            </w:r>
          </w:p>
        </w:tc>
        <w:tc>
          <w:tcPr>
            <w:tcW w:w="986" w:type="dxa"/>
            <w:vAlign w:val="center"/>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57</w:t>
            </w:r>
          </w:p>
        </w:tc>
        <w:tc>
          <w:tcPr>
            <w:tcW w:w="986" w:type="dxa"/>
            <w:vAlign w:val="center"/>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112</w:t>
            </w:r>
          </w:p>
        </w:tc>
        <w:tc>
          <w:tcPr>
            <w:tcW w:w="966" w:type="dxa"/>
            <w:vAlign w:val="center"/>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00" w:hRule="atLeast"/>
        </w:trPr>
        <w:tc>
          <w:tcPr>
            <w:tcW w:w="965" w:type="dxa"/>
            <w:vMerge w:val="continue"/>
            <w:vAlign w:val="center"/>
          </w:tcPr>
          <w:p>
            <w:pPr>
              <w:widowControl/>
              <w:jc w:val="left"/>
              <w:rPr>
                <w:rFonts w:ascii="Times New Roman" w:hAnsi="Times New Roman" w:eastAsia="宋体" w:cs="Times New Roman"/>
                <w:color w:val="000000"/>
                <w:kern w:val="0"/>
                <w:sz w:val="22"/>
              </w:rPr>
            </w:pPr>
          </w:p>
        </w:tc>
        <w:tc>
          <w:tcPr>
            <w:tcW w:w="2852" w:type="dxa"/>
            <w:vMerge w:val="continue"/>
            <w:vAlign w:val="center"/>
          </w:tcPr>
          <w:p>
            <w:pPr>
              <w:widowControl/>
              <w:jc w:val="left"/>
              <w:rPr>
                <w:rFonts w:ascii="宋体" w:hAnsi="宋体" w:eastAsia="宋体" w:cs="宋体"/>
                <w:color w:val="000000"/>
                <w:kern w:val="0"/>
                <w:sz w:val="22"/>
              </w:rPr>
            </w:pPr>
          </w:p>
        </w:tc>
        <w:tc>
          <w:tcPr>
            <w:tcW w:w="3391" w:type="dxa"/>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高压输配电线路施工运行与维护</w:t>
            </w:r>
          </w:p>
        </w:tc>
        <w:tc>
          <w:tcPr>
            <w:tcW w:w="1109" w:type="dxa"/>
            <w:vMerge w:val="continue"/>
            <w:vAlign w:val="center"/>
          </w:tcPr>
          <w:p>
            <w:pPr>
              <w:widowControl/>
              <w:jc w:val="left"/>
              <w:rPr>
                <w:rFonts w:ascii="宋体" w:hAnsi="宋体" w:eastAsia="宋体" w:cs="宋体"/>
                <w:color w:val="000000"/>
                <w:kern w:val="0"/>
                <w:sz w:val="22"/>
              </w:rPr>
            </w:pPr>
          </w:p>
        </w:tc>
        <w:tc>
          <w:tcPr>
            <w:tcW w:w="1954"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侯梁</w:t>
            </w:r>
          </w:p>
        </w:tc>
        <w:tc>
          <w:tcPr>
            <w:tcW w:w="965" w:type="dxa"/>
            <w:vAlign w:val="top"/>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54</w:t>
            </w:r>
          </w:p>
        </w:tc>
        <w:tc>
          <w:tcPr>
            <w:tcW w:w="986" w:type="dxa"/>
            <w:vAlign w:val="top"/>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72</w:t>
            </w:r>
          </w:p>
        </w:tc>
        <w:tc>
          <w:tcPr>
            <w:tcW w:w="986" w:type="dxa"/>
            <w:vAlign w:val="top"/>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74</w:t>
            </w:r>
          </w:p>
        </w:tc>
        <w:tc>
          <w:tcPr>
            <w:tcW w:w="966" w:type="dxa"/>
            <w:vAlign w:val="top"/>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00" w:hRule="atLeast"/>
        </w:trPr>
        <w:tc>
          <w:tcPr>
            <w:tcW w:w="965" w:type="dxa"/>
            <w:vMerge w:val="continue"/>
            <w:vAlign w:val="center"/>
          </w:tcPr>
          <w:p>
            <w:pPr>
              <w:widowControl/>
              <w:jc w:val="left"/>
              <w:rPr>
                <w:rFonts w:ascii="Times New Roman" w:hAnsi="Times New Roman" w:eastAsia="宋体" w:cs="Times New Roman"/>
                <w:color w:val="000000"/>
                <w:kern w:val="0"/>
                <w:sz w:val="22"/>
              </w:rPr>
            </w:pPr>
          </w:p>
        </w:tc>
        <w:tc>
          <w:tcPr>
            <w:tcW w:w="2852" w:type="dxa"/>
            <w:vMerge w:val="continue"/>
            <w:vAlign w:val="center"/>
          </w:tcPr>
          <w:p>
            <w:pPr>
              <w:widowControl/>
              <w:jc w:val="left"/>
              <w:rPr>
                <w:rFonts w:ascii="宋体" w:hAnsi="宋体" w:eastAsia="宋体" w:cs="宋体"/>
                <w:color w:val="000000"/>
                <w:kern w:val="0"/>
                <w:sz w:val="22"/>
              </w:rPr>
            </w:pPr>
          </w:p>
        </w:tc>
        <w:tc>
          <w:tcPr>
            <w:tcW w:w="3391" w:type="dxa"/>
            <w:vAlign w:val="center"/>
          </w:tcPr>
          <w:p>
            <w:pPr>
              <w:widowControl/>
              <w:rPr>
                <w:rFonts w:ascii="宋体" w:hAnsi="宋体" w:eastAsia="宋体" w:cs="宋体"/>
                <w:color w:val="000000"/>
                <w:kern w:val="0"/>
                <w:sz w:val="22"/>
              </w:rPr>
            </w:pPr>
            <w:r>
              <w:rPr>
                <w:rFonts w:hint="eastAsia" w:ascii="宋体" w:hAnsi="宋体" w:eastAsia="宋体" w:cs="宋体"/>
                <w:color w:val="000000"/>
                <w:kern w:val="0"/>
                <w:sz w:val="22"/>
              </w:rPr>
              <w:t>电厂热能动力装置</w:t>
            </w:r>
          </w:p>
        </w:tc>
        <w:tc>
          <w:tcPr>
            <w:tcW w:w="1109" w:type="dxa"/>
            <w:vMerge w:val="restart"/>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动力系</w:t>
            </w:r>
          </w:p>
        </w:tc>
        <w:tc>
          <w:tcPr>
            <w:tcW w:w="1954" w:type="dxa"/>
            <w:vAlign w:val="center"/>
          </w:tcPr>
          <w:p>
            <w:pPr>
              <w:widowControl/>
              <w:jc w:val="center"/>
              <w:rPr>
                <w:rFonts w:ascii="Times New Roman" w:hAnsi="Times New Roman" w:eastAsia="宋体" w:cs="Times New Roman"/>
                <w:color w:val="000000"/>
                <w:kern w:val="0"/>
                <w:sz w:val="22"/>
              </w:rPr>
            </w:pPr>
            <w:r>
              <w:rPr>
                <w:rFonts w:hint="eastAsia" w:ascii="宋体" w:hAnsi="宋体" w:eastAsia="宋体" w:cs="Times New Roman"/>
                <w:color w:val="000000"/>
                <w:kern w:val="0"/>
                <w:sz w:val="22"/>
              </w:rPr>
              <w:t>郭迎利</w:t>
            </w:r>
            <w:r>
              <w:rPr>
                <w:rFonts w:ascii="Times New Roman" w:hAnsi="Times New Roman" w:eastAsia="宋体" w:cs="Times New Roman"/>
                <w:color w:val="000000"/>
                <w:kern w:val="0"/>
                <w:sz w:val="22"/>
              </w:rPr>
              <w:t xml:space="preserve">  </w:t>
            </w:r>
            <w:r>
              <w:rPr>
                <w:rFonts w:hint="eastAsia" w:ascii="宋体" w:hAnsi="宋体" w:eastAsia="宋体" w:cs="Times New Roman"/>
                <w:color w:val="000000"/>
                <w:kern w:val="0"/>
                <w:sz w:val="22"/>
              </w:rPr>
              <w:t>孙文杰</w:t>
            </w:r>
          </w:p>
        </w:tc>
        <w:tc>
          <w:tcPr>
            <w:tcW w:w="965" w:type="dxa"/>
            <w:vAlign w:val="center"/>
          </w:tcPr>
          <w:p>
            <w:pPr>
              <w:widowControl/>
              <w:jc w:val="right"/>
              <w:rPr>
                <w:rFonts w:ascii="Calibri" w:hAnsi="Calibri" w:eastAsia="宋体" w:cs="宋体"/>
                <w:color w:val="000000"/>
                <w:kern w:val="0"/>
                <w:sz w:val="22"/>
              </w:rPr>
            </w:pPr>
            <w:r>
              <w:rPr>
                <w:rFonts w:ascii="Calibri" w:hAnsi="Calibri" w:eastAsia="宋体" w:cs="宋体"/>
                <w:color w:val="000000"/>
                <w:kern w:val="0"/>
                <w:sz w:val="22"/>
              </w:rPr>
              <w:t>5.8</w:t>
            </w:r>
          </w:p>
        </w:tc>
        <w:tc>
          <w:tcPr>
            <w:tcW w:w="986" w:type="dxa"/>
            <w:vAlign w:val="center"/>
          </w:tcPr>
          <w:p>
            <w:pPr>
              <w:widowControl/>
              <w:jc w:val="right"/>
              <w:rPr>
                <w:rFonts w:ascii="Calibri" w:hAnsi="Calibri" w:eastAsia="宋体" w:cs="宋体"/>
                <w:color w:val="000000"/>
                <w:kern w:val="0"/>
                <w:sz w:val="22"/>
              </w:rPr>
            </w:pPr>
            <w:r>
              <w:rPr>
                <w:rFonts w:ascii="Calibri" w:hAnsi="Calibri" w:eastAsia="宋体" w:cs="宋体"/>
                <w:color w:val="000000"/>
                <w:kern w:val="0"/>
                <w:sz w:val="22"/>
              </w:rPr>
              <w:t>101.3</w:t>
            </w:r>
          </w:p>
        </w:tc>
        <w:tc>
          <w:tcPr>
            <w:tcW w:w="986" w:type="dxa"/>
            <w:vAlign w:val="center"/>
          </w:tcPr>
          <w:p>
            <w:pPr>
              <w:widowControl/>
              <w:jc w:val="right"/>
              <w:rPr>
                <w:rFonts w:ascii="Calibri" w:hAnsi="Calibri" w:eastAsia="宋体" w:cs="宋体"/>
                <w:color w:val="000000"/>
                <w:kern w:val="0"/>
                <w:sz w:val="22"/>
              </w:rPr>
            </w:pPr>
            <w:r>
              <w:rPr>
                <w:rFonts w:ascii="Calibri" w:hAnsi="Calibri" w:eastAsia="宋体" w:cs="宋体"/>
                <w:color w:val="000000"/>
                <w:kern w:val="0"/>
                <w:sz w:val="22"/>
              </w:rPr>
              <w:t>92.9</w:t>
            </w:r>
          </w:p>
        </w:tc>
        <w:tc>
          <w:tcPr>
            <w:tcW w:w="966" w:type="dxa"/>
            <w:vAlign w:val="center"/>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00" w:hRule="atLeast"/>
        </w:trPr>
        <w:tc>
          <w:tcPr>
            <w:tcW w:w="965" w:type="dxa"/>
            <w:vMerge w:val="continue"/>
            <w:vAlign w:val="center"/>
          </w:tcPr>
          <w:p>
            <w:pPr>
              <w:widowControl/>
              <w:jc w:val="left"/>
              <w:rPr>
                <w:rFonts w:ascii="Times New Roman" w:hAnsi="Times New Roman" w:eastAsia="宋体" w:cs="Times New Roman"/>
                <w:color w:val="000000"/>
                <w:kern w:val="0"/>
                <w:sz w:val="22"/>
              </w:rPr>
            </w:pPr>
          </w:p>
        </w:tc>
        <w:tc>
          <w:tcPr>
            <w:tcW w:w="2852" w:type="dxa"/>
            <w:vMerge w:val="continue"/>
            <w:vAlign w:val="center"/>
          </w:tcPr>
          <w:p>
            <w:pPr>
              <w:widowControl/>
              <w:jc w:val="left"/>
              <w:rPr>
                <w:rFonts w:ascii="宋体" w:hAnsi="宋体" w:eastAsia="宋体" w:cs="宋体"/>
                <w:color w:val="000000"/>
                <w:kern w:val="0"/>
                <w:sz w:val="22"/>
              </w:rPr>
            </w:pPr>
          </w:p>
        </w:tc>
        <w:tc>
          <w:tcPr>
            <w:tcW w:w="3391" w:type="dxa"/>
            <w:vAlign w:val="center"/>
          </w:tcPr>
          <w:p>
            <w:pPr>
              <w:widowControl/>
              <w:rPr>
                <w:rFonts w:ascii="宋体" w:hAnsi="宋体" w:eastAsia="宋体" w:cs="宋体"/>
                <w:color w:val="000000"/>
                <w:kern w:val="0"/>
                <w:sz w:val="22"/>
              </w:rPr>
            </w:pPr>
            <w:r>
              <w:rPr>
                <w:rFonts w:hint="eastAsia" w:ascii="宋体" w:hAnsi="宋体" w:eastAsia="宋体" w:cs="宋体"/>
                <w:color w:val="000000"/>
                <w:kern w:val="0"/>
                <w:sz w:val="22"/>
              </w:rPr>
              <w:t>火电厂集控运行</w:t>
            </w:r>
          </w:p>
        </w:tc>
        <w:tc>
          <w:tcPr>
            <w:tcW w:w="1109" w:type="dxa"/>
            <w:vMerge w:val="continue"/>
            <w:vAlign w:val="center"/>
          </w:tcPr>
          <w:p>
            <w:pPr>
              <w:widowControl/>
              <w:jc w:val="left"/>
              <w:rPr>
                <w:rFonts w:ascii="宋体" w:hAnsi="宋体" w:eastAsia="宋体" w:cs="宋体"/>
                <w:color w:val="000000"/>
                <w:kern w:val="0"/>
                <w:sz w:val="22"/>
              </w:rPr>
            </w:pPr>
          </w:p>
        </w:tc>
        <w:tc>
          <w:tcPr>
            <w:tcW w:w="1954" w:type="dxa"/>
            <w:vAlign w:val="center"/>
          </w:tcPr>
          <w:p>
            <w:pPr>
              <w:widowControl/>
              <w:jc w:val="center"/>
              <w:rPr>
                <w:rFonts w:ascii="Times New Roman" w:hAnsi="Times New Roman" w:eastAsia="宋体" w:cs="Times New Roman"/>
                <w:color w:val="000000"/>
                <w:kern w:val="0"/>
                <w:sz w:val="22"/>
              </w:rPr>
            </w:pPr>
            <w:r>
              <w:rPr>
                <w:rFonts w:hint="eastAsia" w:ascii="宋体" w:hAnsi="宋体" w:eastAsia="宋体" w:cs="Times New Roman"/>
                <w:color w:val="000000"/>
                <w:kern w:val="0"/>
                <w:sz w:val="22"/>
              </w:rPr>
              <w:t>李珩</w:t>
            </w:r>
            <w:r>
              <w:rPr>
                <w:rFonts w:ascii="Times New Roman" w:hAnsi="Times New Roman" w:eastAsia="宋体" w:cs="Times New Roman"/>
                <w:color w:val="000000"/>
                <w:kern w:val="0"/>
                <w:sz w:val="22"/>
              </w:rPr>
              <w:t xml:space="preserve"> </w:t>
            </w:r>
            <w:r>
              <w:rPr>
                <w:rFonts w:hint="eastAsia" w:ascii="宋体" w:hAnsi="宋体" w:eastAsia="宋体" w:cs="Times New Roman"/>
                <w:color w:val="000000"/>
                <w:kern w:val="0"/>
                <w:sz w:val="22"/>
              </w:rPr>
              <w:t>齐强</w:t>
            </w:r>
          </w:p>
        </w:tc>
        <w:tc>
          <w:tcPr>
            <w:tcW w:w="965" w:type="dxa"/>
            <w:vAlign w:val="center"/>
          </w:tcPr>
          <w:p>
            <w:pPr>
              <w:widowControl/>
              <w:jc w:val="right"/>
              <w:rPr>
                <w:rFonts w:ascii="Calibri" w:hAnsi="Calibri" w:eastAsia="宋体" w:cs="宋体"/>
                <w:color w:val="000000"/>
                <w:kern w:val="0"/>
                <w:sz w:val="22"/>
              </w:rPr>
            </w:pPr>
            <w:r>
              <w:rPr>
                <w:rFonts w:ascii="Calibri" w:hAnsi="Calibri" w:eastAsia="宋体" w:cs="宋体"/>
                <w:color w:val="000000"/>
                <w:kern w:val="0"/>
                <w:sz w:val="22"/>
              </w:rPr>
              <w:t>13.5</w:t>
            </w:r>
          </w:p>
        </w:tc>
        <w:tc>
          <w:tcPr>
            <w:tcW w:w="986" w:type="dxa"/>
            <w:vAlign w:val="center"/>
          </w:tcPr>
          <w:p>
            <w:pPr>
              <w:widowControl/>
              <w:jc w:val="right"/>
              <w:rPr>
                <w:rFonts w:ascii="Calibri" w:hAnsi="Calibri" w:eastAsia="宋体" w:cs="宋体"/>
                <w:color w:val="000000"/>
                <w:kern w:val="0"/>
                <w:sz w:val="22"/>
              </w:rPr>
            </w:pPr>
            <w:r>
              <w:rPr>
                <w:rFonts w:ascii="Calibri" w:hAnsi="Calibri" w:eastAsia="宋体" w:cs="宋体"/>
                <w:color w:val="000000"/>
                <w:kern w:val="0"/>
                <w:sz w:val="22"/>
              </w:rPr>
              <w:t>61.5</w:t>
            </w:r>
          </w:p>
        </w:tc>
        <w:tc>
          <w:tcPr>
            <w:tcW w:w="986" w:type="dxa"/>
            <w:vAlign w:val="center"/>
          </w:tcPr>
          <w:p>
            <w:pPr>
              <w:widowControl/>
              <w:jc w:val="right"/>
              <w:rPr>
                <w:rFonts w:ascii="Calibri" w:hAnsi="Calibri" w:eastAsia="宋体" w:cs="宋体"/>
                <w:color w:val="000000"/>
                <w:kern w:val="0"/>
                <w:sz w:val="22"/>
              </w:rPr>
            </w:pPr>
            <w:r>
              <w:rPr>
                <w:rFonts w:ascii="Calibri" w:hAnsi="Calibri" w:eastAsia="宋体" w:cs="宋体"/>
                <w:color w:val="000000"/>
                <w:kern w:val="0"/>
                <w:sz w:val="22"/>
              </w:rPr>
              <w:t>125</w:t>
            </w:r>
          </w:p>
        </w:tc>
        <w:tc>
          <w:tcPr>
            <w:tcW w:w="966" w:type="dxa"/>
            <w:vAlign w:val="center"/>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00" w:hRule="atLeast"/>
        </w:trPr>
        <w:tc>
          <w:tcPr>
            <w:tcW w:w="965" w:type="dxa"/>
            <w:vMerge w:val="continue"/>
            <w:vAlign w:val="center"/>
          </w:tcPr>
          <w:p>
            <w:pPr>
              <w:widowControl/>
              <w:jc w:val="left"/>
              <w:rPr>
                <w:rFonts w:ascii="Times New Roman" w:hAnsi="Times New Roman" w:eastAsia="宋体" w:cs="Times New Roman"/>
                <w:color w:val="000000"/>
                <w:kern w:val="0"/>
                <w:sz w:val="22"/>
              </w:rPr>
            </w:pPr>
          </w:p>
        </w:tc>
        <w:tc>
          <w:tcPr>
            <w:tcW w:w="2852" w:type="dxa"/>
            <w:vMerge w:val="continue"/>
            <w:vAlign w:val="center"/>
          </w:tcPr>
          <w:p>
            <w:pPr>
              <w:widowControl/>
              <w:jc w:val="left"/>
              <w:rPr>
                <w:rFonts w:ascii="宋体" w:hAnsi="宋体" w:eastAsia="宋体" w:cs="宋体"/>
                <w:color w:val="000000"/>
                <w:kern w:val="0"/>
                <w:sz w:val="22"/>
              </w:rPr>
            </w:pPr>
          </w:p>
        </w:tc>
        <w:tc>
          <w:tcPr>
            <w:tcW w:w="3391" w:type="dxa"/>
            <w:vAlign w:val="center"/>
          </w:tcPr>
          <w:p>
            <w:pPr>
              <w:widowControl/>
              <w:rPr>
                <w:rFonts w:ascii="宋体" w:hAnsi="宋体" w:eastAsia="宋体" w:cs="宋体"/>
                <w:color w:val="000000"/>
                <w:kern w:val="0"/>
                <w:sz w:val="22"/>
              </w:rPr>
            </w:pPr>
            <w:r>
              <w:rPr>
                <w:rFonts w:hint="eastAsia" w:ascii="宋体" w:hAnsi="宋体" w:eastAsia="宋体" w:cs="宋体"/>
                <w:color w:val="000000"/>
                <w:kern w:val="0"/>
                <w:sz w:val="22"/>
              </w:rPr>
              <w:t>工业过程自动化技术（电厂方向）</w:t>
            </w:r>
          </w:p>
        </w:tc>
        <w:tc>
          <w:tcPr>
            <w:tcW w:w="1109" w:type="dxa"/>
            <w:vMerge w:val="continue"/>
            <w:vAlign w:val="center"/>
          </w:tcPr>
          <w:p>
            <w:pPr>
              <w:widowControl/>
              <w:jc w:val="left"/>
              <w:rPr>
                <w:rFonts w:ascii="宋体" w:hAnsi="宋体" w:eastAsia="宋体" w:cs="宋体"/>
                <w:color w:val="000000"/>
                <w:kern w:val="0"/>
                <w:sz w:val="22"/>
              </w:rPr>
            </w:pPr>
          </w:p>
        </w:tc>
        <w:tc>
          <w:tcPr>
            <w:tcW w:w="1954" w:type="dxa"/>
            <w:vAlign w:val="center"/>
          </w:tcPr>
          <w:p>
            <w:pPr>
              <w:widowControl/>
              <w:jc w:val="center"/>
              <w:rPr>
                <w:rFonts w:ascii="Times New Roman" w:hAnsi="Times New Roman" w:eastAsia="宋体" w:cs="Times New Roman"/>
                <w:color w:val="000000"/>
                <w:kern w:val="0"/>
                <w:sz w:val="22"/>
              </w:rPr>
            </w:pPr>
            <w:r>
              <w:rPr>
                <w:rFonts w:hint="eastAsia" w:ascii="宋体" w:hAnsi="宋体" w:eastAsia="宋体" w:cs="Times New Roman"/>
                <w:color w:val="000000"/>
                <w:kern w:val="0"/>
                <w:sz w:val="22"/>
              </w:rPr>
              <w:t>乔红</w:t>
            </w:r>
            <w:r>
              <w:rPr>
                <w:rFonts w:ascii="Times New Roman" w:hAnsi="Times New Roman" w:eastAsia="宋体" w:cs="Times New Roman"/>
                <w:color w:val="000000"/>
                <w:kern w:val="0"/>
                <w:sz w:val="22"/>
              </w:rPr>
              <w:t xml:space="preserve"> </w:t>
            </w:r>
            <w:r>
              <w:rPr>
                <w:rFonts w:hint="eastAsia" w:ascii="宋体" w:hAnsi="宋体" w:eastAsia="宋体" w:cs="Times New Roman"/>
                <w:color w:val="000000"/>
                <w:kern w:val="0"/>
                <w:sz w:val="22"/>
              </w:rPr>
              <w:t>雷鸣雳</w:t>
            </w:r>
          </w:p>
        </w:tc>
        <w:tc>
          <w:tcPr>
            <w:tcW w:w="965" w:type="dxa"/>
            <w:vAlign w:val="top"/>
          </w:tcPr>
          <w:p>
            <w:pPr>
              <w:widowControl/>
              <w:jc w:val="right"/>
              <w:rPr>
                <w:rFonts w:ascii="Calibri" w:hAnsi="Calibri" w:eastAsia="宋体" w:cs="宋体"/>
                <w:color w:val="000000"/>
                <w:kern w:val="0"/>
                <w:sz w:val="22"/>
              </w:rPr>
            </w:pPr>
            <w:r>
              <w:rPr>
                <w:rFonts w:ascii="Calibri" w:hAnsi="Calibri" w:eastAsia="宋体" w:cs="宋体"/>
                <w:color w:val="000000"/>
                <w:kern w:val="0"/>
                <w:sz w:val="22"/>
              </w:rPr>
              <w:t>14</w:t>
            </w:r>
          </w:p>
        </w:tc>
        <w:tc>
          <w:tcPr>
            <w:tcW w:w="986" w:type="dxa"/>
            <w:vAlign w:val="top"/>
          </w:tcPr>
          <w:p>
            <w:pPr>
              <w:widowControl/>
              <w:jc w:val="right"/>
              <w:rPr>
                <w:rFonts w:ascii="Calibri" w:hAnsi="Calibri" w:eastAsia="宋体" w:cs="宋体"/>
                <w:color w:val="000000"/>
                <w:kern w:val="0"/>
                <w:sz w:val="22"/>
              </w:rPr>
            </w:pPr>
            <w:r>
              <w:rPr>
                <w:rFonts w:ascii="Calibri" w:hAnsi="Calibri" w:eastAsia="宋体" w:cs="宋体"/>
                <w:color w:val="000000"/>
                <w:kern w:val="0"/>
                <w:sz w:val="22"/>
              </w:rPr>
              <w:t>103</w:t>
            </w:r>
          </w:p>
        </w:tc>
        <w:tc>
          <w:tcPr>
            <w:tcW w:w="986" w:type="dxa"/>
            <w:vAlign w:val="top"/>
          </w:tcPr>
          <w:p>
            <w:pPr>
              <w:widowControl/>
              <w:jc w:val="right"/>
              <w:rPr>
                <w:rFonts w:ascii="Calibri" w:hAnsi="Calibri" w:eastAsia="宋体" w:cs="宋体"/>
                <w:color w:val="000000"/>
                <w:kern w:val="0"/>
                <w:sz w:val="22"/>
              </w:rPr>
            </w:pPr>
            <w:r>
              <w:rPr>
                <w:rFonts w:ascii="Calibri" w:hAnsi="Calibri" w:eastAsia="宋体" w:cs="宋体"/>
                <w:color w:val="000000"/>
                <w:kern w:val="0"/>
                <w:sz w:val="22"/>
              </w:rPr>
              <w:t>83</w:t>
            </w:r>
          </w:p>
        </w:tc>
        <w:tc>
          <w:tcPr>
            <w:tcW w:w="966" w:type="dxa"/>
            <w:vAlign w:val="top"/>
          </w:tcPr>
          <w:p>
            <w:pPr>
              <w:widowControl/>
              <w:jc w:val="right"/>
              <w:rPr>
                <w:rFonts w:ascii="Calibri" w:hAnsi="Calibri" w:eastAsia="宋体" w:cs="宋体"/>
                <w:color w:val="000000"/>
                <w:kern w:val="0"/>
                <w:sz w:val="22"/>
              </w:rPr>
            </w:pPr>
            <w:r>
              <w:rPr>
                <w:rFonts w:ascii="Calibri" w:hAnsi="Calibri" w:eastAsia="宋体" w:cs="宋体"/>
                <w:color w:val="000000"/>
                <w:kern w:val="0"/>
                <w:sz w:val="22"/>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00" w:hRule="atLeast"/>
        </w:trPr>
        <w:tc>
          <w:tcPr>
            <w:tcW w:w="965" w:type="dxa"/>
            <w:vMerge w:val="restart"/>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XM-2</w:t>
            </w:r>
          </w:p>
        </w:tc>
        <w:tc>
          <w:tcPr>
            <w:tcW w:w="2852" w:type="dxa"/>
            <w:vMerge w:val="restart"/>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校企共建的生产性实训基地建设（80个左右）</w:t>
            </w:r>
          </w:p>
        </w:tc>
        <w:tc>
          <w:tcPr>
            <w:tcW w:w="3391" w:type="dxa"/>
            <w:vAlign w:val="center"/>
          </w:tcPr>
          <w:p>
            <w:pPr>
              <w:widowControl/>
              <w:rPr>
                <w:rFonts w:ascii="宋体" w:hAnsi="宋体" w:eastAsia="宋体" w:cs="宋体"/>
                <w:color w:val="000000"/>
                <w:kern w:val="0"/>
                <w:sz w:val="22"/>
              </w:rPr>
            </w:pPr>
            <w:r>
              <w:rPr>
                <w:rFonts w:hint="eastAsia" w:ascii="宋体" w:hAnsi="宋体" w:eastAsia="宋体" w:cs="宋体"/>
                <w:color w:val="000000"/>
                <w:kern w:val="0"/>
                <w:sz w:val="22"/>
              </w:rPr>
              <w:t>智能变电站二次系统实训基地</w:t>
            </w:r>
          </w:p>
        </w:tc>
        <w:tc>
          <w:tcPr>
            <w:tcW w:w="1109"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技培部</w:t>
            </w:r>
          </w:p>
        </w:tc>
        <w:tc>
          <w:tcPr>
            <w:tcW w:w="1954" w:type="dxa"/>
            <w:vAlign w:val="center"/>
          </w:tcPr>
          <w:p>
            <w:pPr>
              <w:widowControl/>
              <w:jc w:val="center"/>
              <w:rPr>
                <w:rFonts w:ascii="Times New Roman" w:hAnsi="Times New Roman" w:eastAsia="宋体" w:cs="Times New Roman"/>
                <w:color w:val="000000"/>
                <w:kern w:val="0"/>
                <w:sz w:val="22"/>
              </w:rPr>
            </w:pPr>
            <w:r>
              <w:rPr>
                <w:rFonts w:hint="eastAsia" w:ascii="宋体" w:hAnsi="宋体" w:eastAsia="宋体" w:cs="Times New Roman"/>
                <w:color w:val="000000"/>
                <w:kern w:val="0"/>
                <w:sz w:val="22"/>
              </w:rPr>
              <w:t>钟西炎</w:t>
            </w:r>
          </w:p>
        </w:tc>
        <w:tc>
          <w:tcPr>
            <w:tcW w:w="965" w:type="dxa"/>
            <w:vAlign w:val="center"/>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w:t>
            </w:r>
          </w:p>
        </w:tc>
        <w:tc>
          <w:tcPr>
            <w:tcW w:w="986" w:type="dxa"/>
            <w:vAlign w:val="center"/>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200</w:t>
            </w:r>
          </w:p>
        </w:tc>
        <w:tc>
          <w:tcPr>
            <w:tcW w:w="986" w:type="dxa"/>
            <w:vAlign w:val="center"/>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w:t>
            </w:r>
          </w:p>
        </w:tc>
        <w:tc>
          <w:tcPr>
            <w:tcW w:w="966" w:type="dxa"/>
            <w:vAlign w:val="center"/>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00" w:hRule="atLeast"/>
        </w:trPr>
        <w:tc>
          <w:tcPr>
            <w:tcW w:w="965" w:type="dxa"/>
            <w:vMerge w:val="continue"/>
            <w:vAlign w:val="center"/>
          </w:tcPr>
          <w:p>
            <w:pPr>
              <w:widowControl/>
              <w:jc w:val="left"/>
              <w:rPr>
                <w:rFonts w:ascii="Times New Roman" w:hAnsi="Times New Roman" w:eastAsia="宋体" w:cs="Times New Roman"/>
                <w:color w:val="000000"/>
                <w:kern w:val="0"/>
                <w:sz w:val="22"/>
              </w:rPr>
            </w:pPr>
          </w:p>
        </w:tc>
        <w:tc>
          <w:tcPr>
            <w:tcW w:w="2852" w:type="dxa"/>
            <w:vMerge w:val="continue"/>
            <w:vAlign w:val="center"/>
          </w:tcPr>
          <w:p>
            <w:pPr>
              <w:widowControl/>
              <w:jc w:val="left"/>
              <w:rPr>
                <w:rFonts w:ascii="宋体" w:hAnsi="宋体" w:eastAsia="宋体" w:cs="宋体"/>
                <w:color w:val="000000"/>
                <w:kern w:val="0"/>
                <w:sz w:val="22"/>
              </w:rPr>
            </w:pPr>
          </w:p>
        </w:tc>
        <w:tc>
          <w:tcPr>
            <w:tcW w:w="3391" w:type="dxa"/>
            <w:vAlign w:val="center"/>
          </w:tcPr>
          <w:p>
            <w:pPr>
              <w:widowControl/>
              <w:rPr>
                <w:rFonts w:ascii="宋体" w:hAnsi="宋体" w:eastAsia="宋体" w:cs="宋体"/>
                <w:color w:val="000000"/>
                <w:kern w:val="0"/>
                <w:sz w:val="22"/>
              </w:rPr>
            </w:pPr>
            <w:r>
              <w:rPr>
                <w:rFonts w:hint="eastAsia" w:ascii="宋体" w:hAnsi="宋体" w:eastAsia="宋体" w:cs="宋体"/>
                <w:color w:val="000000"/>
                <w:kern w:val="0"/>
                <w:sz w:val="22"/>
              </w:rPr>
              <w:t>热力设备及辅助系统实训基地</w:t>
            </w:r>
          </w:p>
        </w:tc>
        <w:tc>
          <w:tcPr>
            <w:tcW w:w="1109" w:type="dxa"/>
            <w:vMerge w:val="restart"/>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动力系</w:t>
            </w:r>
          </w:p>
        </w:tc>
        <w:tc>
          <w:tcPr>
            <w:tcW w:w="1954"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孙文杰 陈智敏</w:t>
            </w:r>
          </w:p>
        </w:tc>
        <w:tc>
          <w:tcPr>
            <w:tcW w:w="965" w:type="dxa"/>
            <w:vAlign w:val="center"/>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w:t>
            </w:r>
          </w:p>
        </w:tc>
        <w:tc>
          <w:tcPr>
            <w:tcW w:w="986" w:type="dxa"/>
            <w:vAlign w:val="center"/>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110</w:t>
            </w:r>
          </w:p>
        </w:tc>
        <w:tc>
          <w:tcPr>
            <w:tcW w:w="986" w:type="dxa"/>
            <w:vAlign w:val="center"/>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90</w:t>
            </w:r>
          </w:p>
        </w:tc>
        <w:tc>
          <w:tcPr>
            <w:tcW w:w="966" w:type="dxa"/>
            <w:vAlign w:val="center"/>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00" w:hRule="atLeast"/>
        </w:trPr>
        <w:tc>
          <w:tcPr>
            <w:tcW w:w="965" w:type="dxa"/>
            <w:vMerge w:val="continue"/>
            <w:vAlign w:val="center"/>
          </w:tcPr>
          <w:p>
            <w:pPr>
              <w:widowControl/>
              <w:jc w:val="left"/>
              <w:rPr>
                <w:rFonts w:ascii="Times New Roman" w:hAnsi="Times New Roman" w:eastAsia="宋体" w:cs="Times New Roman"/>
                <w:color w:val="000000"/>
                <w:kern w:val="0"/>
                <w:sz w:val="22"/>
              </w:rPr>
            </w:pPr>
          </w:p>
        </w:tc>
        <w:tc>
          <w:tcPr>
            <w:tcW w:w="2852" w:type="dxa"/>
            <w:vMerge w:val="continue"/>
            <w:vAlign w:val="center"/>
          </w:tcPr>
          <w:p>
            <w:pPr>
              <w:widowControl/>
              <w:jc w:val="left"/>
              <w:rPr>
                <w:rFonts w:ascii="宋体" w:hAnsi="宋体" w:eastAsia="宋体" w:cs="宋体"/>
                <w:color w:val="000000"/>
                <w:kern w:val="0"/>
                <w:sz w:val="22"/>
              </w:rPr>
            </w:pPr>
          </w:p>
        </w:tc>
        <w:tc>
          <w:tcPr>
            <w:tcW w:w="3391" w:type="dxa"/>
            <w:vAlign w:val="center"/>
          </w:tcPr>
          <w:p>
            <w:pPr>
              <w:widowControl/>
              <w:rPr>
                <w:rFonts w:ascii="宋体" w:hAnsi="宋体" w:eastAsia="宋体" w:cs="宋体"/>
                <w:color w:val="000000"/>
                <w:kern w:val="0"/>
                <w:sz w:val="22"/>
              </w:rPr>
            </w:pPr>
            <w:r>
              <w:rPr>
                <w:rFonts w:hint="eastAsia" w:ascii="宋体" w:hAnsi="宋体" w:eastAsia="宋体" w:cs="宋体"/>
                <w:color w:val="000000"/>
                <w:kern w:val="0"/>
                <w:sz w:val="22"/>
              </w:rPr>
              <w:t>过程控制实训基地</w:t>
            </w:r>
          </w:p>
        </w:tc>
        <w:tc>
          <w:tcPr>
            <w:tcW w:w="1109" w:type="dxa"/>
            <w:vMerge w:val="continue"/>
            <w:vAlign w:val="center"/>
          </w:tcPr>
          <w:p>
            <w:pPr>
              <w:widowControl/>
              <w:jc w:val="left"/>
              <w:rPr>
                <w:rFonts w:ascii="宋体" w:hAnsi="宋体" w:eastAsia="宋体" w:cs="宋体"/>
                <w:color w:val="000000"/>
                <w:kern w:val="0"/>
                <w:sz w:val="22"/>
              </w:rPr>
            </w:pPr>
          </w:p>
        </w:tc>
        <w:tc>
          <w:tcPr>
            <w:tcW w:w="1954"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乔红 雷鸣雳</w:t>
            </w:r>
          </w:p>
        </w:tc>
        <w:tc>
          <w:tcPr>
            <w:tcW w:w="965" w:type="dxa"/>
            <w:vAlign w:val="top"/>
          </w:tcPr>
          <w:p>
            <w:pPr>
              <w:widowControl/>
              <w:jc w:val="right"/>
              <w:rPr>
                <w:rFonts w:ascii="Calibri" w:hAnsi="Calibri" w:eastAsia="宋体" w:cs="宋体"/>
                <w:color w:val="000000"/>
                <w:kern w:val="0"/>
                <w:sz w:val="22"/>
              </w:rPr>
            </w:pPr>
            <w:r>
              <w:rPr>
                <w:rFonts w:ascii="Calibri" w:hAnsi="Calibri" w:eastAsia="宋体" w:cs="宋体"/>
                <w:color w:val="000000"/>
                <w:kern w:val="0"/>
                <w:sz w:val="22"/>
              </w:rPr>
              <w:t>2</w:t>
            </w:r>
          </w:p>
        </w:tc>
        <w:tc>
          <w:tcPr>
            <w:tcW w:w="986" w:type="dxa"/>
            <w:vAlign w:val="top"/>
          </w:tcPr>
          <w:p>
            <w:pPr>
              <w:widowControl/>
              <w:jc w:val="right"/>
              <w:rPr>
                <w:rFonts w:ascii="Calibri" w:hAnsi="Calibri" w:eastAsia="宋体" w:cs="宋体"/>
                <w:color w:val="000000"/>
                <w:kern w:val="0"/>
                <w:sz w:val="22"/>
              </w:rPr>
            </w:pPr>
            <w:r>
              <w:rPr>
                <w:rFonts w:ascii="Calibri" w:hAnsi="Calibri" w:eastAsia="宋体" w:cs="宋体"/>
                <w:color w:val="000000"/>
                <w:kern w:val="0"/>
                <w:sz w:val="22"/>
              </w:rPr>
              <w:t>134</w:t>
            </w:r>
          </w:p>
        </w:tc>
        <w:tc>
          <w:tcPr>
            <w:tcW w:w="986" w:type="dxa"/>
            <w:vAlign w:val="top"/>
          </w:tcPr>
          <w:p>
            <w:pPr>
              <w:widowControl/>
              <w:jc w:val="right"/>
              <w:rPr>
                <w:rFonts w:ascii="Calibri" w:hAnsi="Calibri" w:eastAsia="宋体" w:cs="宋体"/>
                <w:color w:val="000000"/>
                <w:kern w:val="0"/>
                <w:sz w:val="22"/>
              </w:rPr>
            </w:pPr>
            <w:r>
              <w:rPr>
                <w:rFonts w:ascii="Calibri" w:hAnsi="Calibri" w:eastAsia="宋体" w:cs="宋体"/>
                <w:color w:val="000000"/>
                <w:kern w:val="0"/>
                <w:sz w:val="22"/>
              </w:rPr>
              <w:t>64</w:t>
            </w:r>
          </w:p>
        </w:tc>
        <w:tc>
          <w:tcPr>
            <w:tcW w:w="966" w:type="dxa"/>
            <w:vAlign w:val="top"/>
          </w:tcPr>
          <w:p>
            <w:pPr>
              <w:widowControl/>
              <w:jc w:val="right"/>
              <w:rPr>
                <w:rFonts w:ascii="Calibri" w:hAnsi="Calibri" w:eastAsia="宋体" w:cs="宋体"/>
                <w:color w:val="000000"/>
                <w:kern w:val="0"/>
                <w:sz w:val="22"/>
              </w:rPr>
            </w:pPr>
            <w:r>
              <w:rPr>
                <w:rFonts w:ascii="Calibri" w:hAnsi="Calibri" w:eastAsia="宋体" w:cs="宋体"/>
                <w:color w:val="000000"/>
                <w:kern w:val="0"/>
                <w:sz w:val="22"/>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00" w:hRule="atLeast"/>
        </w:trPr>
        <w:tc>
          <w:tcPr>
            <w:tcW w:w="965" w:type="dxa"/>
            <w:vMerge w:val="continue"/>
            <w:vAlign w:val="center"/>
          </w:tcPr>
          <w:p>
            <w:pPr>
              <w:widowControl/>
              <w:jc w:val="left"/>
              <w:rPr>
                <w:rFonts w:ascii="Times New Roman" w:hAnsi="Times New Roman" w:eastAsia="宋体" w:cs="Times New Roman"/>
                <w:color w:val="000000"/>
                <w:kern w:val="0"/>
                <w:sz w:val="22"/>
              </w:rPr>
            </w:pPr>
          </w:p>
        </w:tc>
        <w:tc>
          <w:tcPr>
            <w:tcW w:w="2852" w:type="dxa"/>
            <w:vMerge w:val="continue"/>
            <w:vAlign w:val="center"/>
          </w:tcPr>
          <w:p>
            <w:pPr>
              <w:widowControl/>
              <w:jc w:val="left"/>
              <w:rPr>
                <w:rFonts w:ascii="宋体" w:hAnsi="宋体" w:eastAsia="宋体" w:cs="宋体"/>
                <w:color w:val="000000"/>
                <w:kern w:val="0"/>
                <w:sz w:val="22"/>
              </w:rPr>
            </w:pPr>
          </w:p>
        </w:tc>
        <w:tc>
          <w:tcPr>
            <w:tcW w:w="3391" w:type="dxa"/>
            <w:vAlign w:val="center"/>
          </w:tcPr>
          <w:p>
            <w:pPr>
              <w:widowControl/>
              <w:rPr>
                <w:rFonts w:ascii="宋体" w:hAnsi="宋体" w:eastAsia="宋体" w:cs="宋体"/>
                <w:color w:val="000000"/>
                <w:kern w:val="0"/>
                <w:sz w:val="22"/>
              </w:rPr>
            </w:pPr>
            <w:r>
              <w:rPr>
                <w:rFonts w:hint="eastAsia" w:ascii="宋体" w:hAnsi="宋体" w:eastAsia="宋体" w:cs="宋体"/>
                <w:color w:val="000000"/>
                <w:kern w:val="0"/>
                <w:sz w:val="22"/>
              </w:rPr>
              <w:t>电能计量实训基地</w:t>
            </w:r>
          </w:p>
        </w:tc>
        <w:tc>
          <w:tcPr>
            <w:tcW w:w="1109"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灞桥校区</w:t>
            </w:r>
          </w:p>
        </w:tc>
        <w:tc>
          <w:tcPr>
            <w:tcW w:w="1954" w:type="dxa"/>
            <w:vAlign w:val="center"/>
          </w:tcPr>
          <w:p>
            <w:pPr>
              <w:widowControl/>
              <w:jc w:val="center"/>
              <w:rPr>
                <w:rFonts w:ascii="Times New Roman" w:hAnsi="Times New Roman" w:eastAsia="宋体" w:cs="Times New Roman"/>
                <w:color w:val="000000"/>
                <w:kern w:val="0"/>
                <w:sz w:val="22"/>
              </w:rPr>
            </w:pPr>
            <w:r>
              <w:rPr>
                <w:rFonts w:hint="eastAsia" w:ascii="宋体" w:hAnsi="宋体" w:eastAsia="宋体" w:cs="Times New Roman"/>
                <w:color w:val="000000"/>
                <w:kern w:val="0"/>
                <w:sz w:val="22"/>
              </w:rPr>
              <w:t>刘珅</w:t>
            </w:r>
            <w:r>
              <w:rPr>
                <w:rFonts w:ascii="Times New Roman" w:hAnsi="Times New Roman" w:eastAsia="宋体" w:cs="Times New Roman"/>
                <w:color w:val="000000"/>
                <w:kern w:val="0"/>
                <w:sz w:val="22"/>
              </w:rPr>
              <w:t xml:space="preserve"> </w:t>
            </w:r>
            <w:r>
              <w:rPr>
                <w:rFonts w:hint="eastAsia" w:ascii="宋体" w:hAnsi="宋体" w:eastAsia="宋体" w:cs="Times New Roman"/>
                <w:color w:val="000000"/>
                <w:kern w:val="0"/>
                <w:sz w:val="22"/>
              </w:rPr>
              <w:t>钱晓蓉</w:t>
            </w:r>
          </w:p>
        </w:tc>
        <w:tc>
          <w:tcPr>
            <w:tcW w:w="965" w:type="dxa"/>
            <w:vAlign w:val="center"/>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0.5</w:t>
            </w:r>
          </w:p>
        </w:tc>
        <w:tc>
          <w:tcPr>
            <w:tcW w:w="986" w:type="dxa"/>
            <w:vAlign w:val="center"/>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198.5</w:t>
            </w:r>
          </w:p>
        </w:tc>
        <w:tc>
          <w:tcPr>
            <w:tcW w:w="986" w:type="dxa"/>
            <w:vAlign w:val="center"/>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w:t>
            </w:r>
          </w:p>
        </w:tc>
        <w:tc>
          <w:tcPr>
            <w:tcW w:w="966" w:type="dxa"/>
            <w:vAlign w:val="center"/>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00" w:hRule="atLeast"/>
        </w:trPr>
        <w:tc>
          <w:tcPr>
            <w:tcW w:w="965" w:type="dxa"/>
            <w:vMerge w:val="continue"/>
            <w:vAlign w:val="center"/>
          </w:tcPr>
          <w:p>
            <w:pPr>
              <w:widowControl/>
              <w:jc w:val="left"/>
              <w:rPr>
                <w:rFonts w:ascii="Times New Roman" w:hAnsi="Times New Roman" w:eastAsia="宋体" w:cs="Times New Roman"/>
                <w:color w:val="000000"/>
                <w:kern w:val="0"/>
                <w:sz w:val="22"/>
              </w:rPr>
            </w:pPr>
          </w:p>
        </w:tc>
        <w:tc>
          <w:tcPr>
            <w:tcW w:w="2852" w:type="dxa"/>
            <w:vMerge w:val="continue"/>
            <w:vAlign w:val="center"/>
          </w:tcPr>
          <w:p>
            <w:pPr>
              <w:widowControl/>
              <w:jc w:val="left"/>
              <w:rPr>
                <w:rFonts w:ascii="宋体" w:hAnsi="宋体" w:eastAsia="宋体" w:cs="宋体"/>
                <w:color w:val="000000"/>
                <w:kern w:val="0"/>
                <w:sz w:val="22"/>
              </w:rPr>
            </w:pPr>
          </w:p>
        </w:tc>
        <w:tc>
          <w:tcPr>
            <w:tcW w:w="3391" w:type="dxa"/>
            <w:vAlign w:val="center"/>
          </w:tcPr>
          <w:p>
            <w:pPr>
              <w:widowControl/>
              <w:rPr>
                <w:rFonts w:ascii="宋体" w:hAnsi="宋体" w:eastAsia="宋体" w:cs="宋体"/>
                <w:color w:val="000000"/>
                <w:kern w:val="0"/>
                <w:sz w:val="22"/>
              </w:rPr>
            </w:pPr>
            <w:r>
              <w:rPr>
                <w:rFonts w:hint="eastAsia" w:ascii="宋体" w:hAnsi="宋体" w:eastAsia="宋体" w:cs="宋体"/>
                <w:color w:val="000000"/>
                <w:kern w:val="0"/>
                <w:sz w:val="22"/>
              </w:rPr>
              <w:t>输配电实训基地（自筹2440万元）</w:t>
            </w:r>
          </w:p>
        </w:tc>
        <w:tc>
          <w:tcPr>
            <w:tcW w:w="1109"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咸阳校区</w:t>
            </w:r>
          </w:p>
        </w:tc>
        <w:tc>
          <w:tcPr>
            <w:tcW w:w="1954"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陈强</w:t>
            </w:r>
          </w:p>
        </w:tc>
        <w:tc>
          <w:tcPr>
            <w:tcW w:w="965" w:type="dxa"/>
            <w:vAlign w:val="center"/>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1546</w:t>
            </w:r>
          </w:p>
        </w:tc>
        <w:tc>
          <w:tcPr>
            <w:tcW w:w="986" w:type="dxa"/>
            <w:vAlign w:val="center"/>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577</w:t>
            </w:r>
          </w:p>
        </w:tc>
        <w:tc>
          <w:tcPr>
            <w:tcW w:w="986" w:type="dxa"/>
            <w:vAlign w:val="center"/>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517</w:t>
            </w:r>
          </w:p>
        </w:tc>
        <w:tc>
          <w:tcPr>
            <w:tcW w:w="966" w:type="dxa"/>
            <w:vAlign w:val="center"/>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00" w:hRule="atLeast"/>
        </w:trPr>
        <w:tc>
          <w:tcPr>
            <w:tcW w:w="965" w:type="dxa"/>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XM-3</w:t>
            </w:r>
          </w:p>
        </w:tc>
        <w:tc>
          <w:tcPr>
            <w:tcW w:w="2852" w:type="dxa"/>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优质专科高等职业院校建设（10所左右）</w:t>
            </w:r>
          </w:p>
        </w:tc>
        <w:tc>
          <w:tcPr>
            <w:tcW w:w="3391" w:type="dxa"/>
            <w:vAlign w:val="center"/>
          </w:tcPr>
          <w:p>
            <w:pPr>
              <w:widowControl/>
              <w:rPr>
                <w:rFonts w:ascii="宋体" w:hAnsi="宋体" w:eastAsia="宋体" w:cs="宋体"/>
                <w:color w:val="000000"/>
                <w:kern w:val="0"/>
                <w:sz w:val="22"/>
              </w:rPr>
            </w:pPr>
            <w:r>
              <w:rPr>
                <w:rFonts w:hint="eastAsia" w:ascii="宋体" w:hAnsi="宋体" w:eastAsia="宋体" w:cs="宋体"/>
                <w:color w:val="000000"/>
                <w:kern w:val="0"/>
                <w:sz w:val="22"/>
              </w:rPr>
              <w:t>西安电力高等专科学校</w:t>
            </w:r>
          </w:p>
        </w:tc>
        <w:tc>
          <w:tcPr>
            <w:tcW w:w="1109"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教务部</w:t>
            </w:r>
          </w:p>
        </w:tc>
        <w:tc>
          <w:tcPr>
            <w:tcW w:w="1954"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王乃永</w:t>
            </w:r>
          </w:p>
        </w:tc>
        <w:tc>
          <w:tcPr>
            <w:tcW w:w="965" w:type="dxa"/>
            <w:vAlign w:val="top"/>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505</w:t>
            </w:r>
          </w:p>
        </w:tc>
        <w:tc>
          <w:tcPr>
            <w:tcW w:w="986" w:type="dxa"/>
            <w:vAlign w:val="top"/>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480</w:t>
            </w:r>
          </w:p>
        </w:tc>
        <w:tc>
          <w:tcPr>
            <w:tcW w:w="986" w:type="dxa"/>
            <w:vAlign w:val="top"/>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515</w:t>
            </w:r>
          </w:p>
        </w:tc>
        <w:tc>
          <w:tcPr>
            <w:tcW w:w="966" w:type="dxa"/>
            <w:vAlign w:val="top"/>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00" w:hRule="atLeast"/>
        </w:trPr>
        <w:tc>
          <w:tcPr>
            <w:tcW w:w="965" w:type="dxa"/>
            <w:vMerge w:val="restart"/>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XM-6</w:t>
            </w:r>
          </w:p>
        </w:tc>
        <w:tc>
          <w:tcPr>
            <w:tcW w:w="2852" w:type="dxa"/>
            <w:vMerge w:val="restart"/>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立项建设省级高等职业教育专业教学资源库（</w:t>
            </w:r>
            <w:r>
              <w:rPr>
                <w:rFonts w:ascii="Times New Roman" w:hAnsi="Times New Roman" w:eastAsia="宋体" w:cs="Times New Roman"/>
                <w:color w:val="000000"/>
                <w:kern w:val="0"/>
                <w:sz w:val="22"/>
              </w:rPr>
              <w:t>10</w:t>
            </w:r>
            <w:r>
              <w:rPr>
                <w:rFonts w:hint="eastAsia" w:ascii="宋体" w:hAnsi="宋体" w:eastAsia="宋体" w:cs="宋体"/>
                <w:color w:val="000000"/>
                <w:kern w:val="0"/>
                <w:sz w:val="22"/>
              </w:rPr>
              <w:t>个左右）和精品在线开放课程（</w:t>
            </w:r>
            <w:r>
              <w:rPr>
                <w:rFonts w:ascii="Times New Roman" w:hAnsi="Times New Roman" w:eastAsia="宋体" w:cs="Times New Roman"/>
                <w:color w:val="000000"/>
                <w:kern w:val="0"/>
                <w:sz w:val="22"/>
              </w:rPr>
              <w:t>50</w:t>
            </w:r>
            <w:r>
              <w:rPr>
                <w:rFonts w:hint="eastAsia" w:ascii="宋体" w:hAnsi="宋体" w:eastAsia="宋体" w:cs="宋体"/>
                <w:color w:val="000000"/>
                <w:kern w:val="0"/>
                <w:sz w:val="22"/>
              </w:rPr>
              <w:t>门左右）</w:t>
            </w:r>
          </w:p>
        </w:tc>
        <w:tc>
          <w:tcPr>
            <w:tcW w:w="3391" w:type="dxa"/>
            <w:vAlign w:val="center"/>
          </w:tcPr>
          <w:p>
            <w:pPr>
              <w:widowControl/>
              <w:rPr>
                <w:rFonts w:ascii="宋体" w:hAnsi="宋体" w:eastAsia="宋体" w:cs="宋体"/>
                <w:color w:val="000000"/>
                <w:kern w:val="0"/>
                <w:sz w:val="22"/>
              </w:rPr>
            </w:pPr>
            <w:r>
              <w:rPr>
                <w:rFonts w:hint="eastAsia" w:ascii="宋体" w:hAnsi="宋体" w:eastAsia="宋体" w:cs="宋体"/>
                <w:color w:val="000000"/>
                <w:kern w:val="0"/>
                <w:sz w:val="22"/>
              </w:rPr>
              <w:t>电子技术应用</w:t>
            </w:r>
          </w:p>
        </w:tc>
        <w:tc>
          <w:tcPr>
            <w:tcW w:w="1109"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电力系</w:t>
            </w:r>
          </w:p>
        </w:tc>
        <w:tc>
          <w:tcPr>
            <w:tcW w:w="1954"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王锦</w:t>
            </w:r>
          </w:p>
        </w:tc>
        <w:tc>
          <w:tcPr>
            <w:tcW w:w="965" w:type="dxa"/>
            <w:vAlign w:val="top"/>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6</w:t>
            </w:r>
          </w:p>
        </w:tc>
        <w:tc>
          <w:tcPr>
            <w:tcW w:w="986" w:type="dxa"/>
            <w:vAlign w:val="top"/>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30</w:t>
            </w:r>
          </w:p>
        </w:tc>
        <w:tc>
          <w:tcPr>
            <w:tcW w:w="986" w:type="dxa"/>
            <w:vAlign w:val="top"/>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14</w:t>
            </w:r>
          </w:p>
        </w:tc>
        <w:tc>
          <w:tcPr>
            <w:tcW w:w="966" w:type="dxa"/>
            <w:vAlign w:val="top"/>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00" w:hRule="atLeast"/>
        </w:trPr>
        <w:tc>
          <w:tcPr>
            <w:tcW w:w="965" w:type="dxa"/>
            <w:vMerge w:val="continue"/>
            <w:vAlign w:val="center"/>
          </w:tcPr>
          <w:p>
            <w:pPr>
              <w:widowControl/>
              <w:jc w:val="left"/>
              <w:rPr>
                <w:rFonts w:ascii="Times New Roman" w:hAnsi="Times New Roman" w:eastAsia="宋体" w:cs="Times New Roman"/>
                <w:color w:val="000000"/>
                <w:kern w:val="0"/>
                <w:sz w:val="22"/>
              </w:rPr>
            </w:pPr>
          </w:p>
        </w:tc>
        <w:tc>
          <w:tcPr>
            <w:tcW w:w="2852" w:type="dxa"/>
            <w:vMerge w:val="continue"/>
            <w:vAlign w:val="center"/>
          </w:tcPr>
          <w:p>
            <w:pPr>
              <w:widowControl/>
              <w:jc w:val="left"/>
              <w:rPr>
                <w:rFonts w:ascii="宋体" w:hAnsi="宋体" w:eastAsia="宋体" w:cs="宋体"/>
                <w:color w:val="000000"/>
                <w:kern w:val="0"/>
                <w:sz w:val="22"/>
              </w:rPr>
            </w:pPr>
          </w:p>
        </w:tc>
        <w:tc>
          <w:tcPr>
            <w:tcW w:w="3391" w:type="dxa"/>
            <w:vAlign w:val="center"/>
          </w:tcPr>
          <w:p>
            <w:pPr>
              <w:widowControl/>
              <w:rPr>
                <w:rFonts w:ascii="宋体" w:hAnsi="宋体" w:eastAsia="宋体" w:cs="宋体"/>
                <w:color w:val="000000"/>
                <w:kern w:val="0"/>
                <w:sz w:val="22"/>
              </w:rPr>
            </w:pPr>
            <w:r>
              <w:rPr>
                <w:rFonts w:hint="eastAsia" w:ascii="宋体" w:hAnsi="宋体" w:eastAsia="宋体" w:cs="宋体"/>
                <w:color w:val="000000"/>
                <w:kern w:val="0"/>
                <w:sz w:val="22"/>
              </w:rPr>
              <w:t>电厂热力设备与系统</w:t>
            </w:r>
          </w:p>
        </w:tc>
        <w:tc>
          <w:tcPr>
            <w:tcW w:w="1109"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动力系</w:t>
            </w:r>
          </w:p>
        </w:tc>
        <w:tc>
          <w:tcPr>
            <w:tcW w:w="1954" w:type="dxa"/>
            <w:vAlign w:val="center"/>
          </w:tcPr>
          <w:p>
            <w:pPr>
              <w:widowControl/>
              <w:jc w:val="center"/>
              <w:rPr>
                <w:rFonts w:ascii="Times New Roman" w:hAnsi="Times New Roman" w:eastAsia="宋体" w:cs="Times New Roman"/>
                <w:color w:val="000000"/>
                <w:kern w:val="0"/>
                <w:sz w:val="22"/>
              </w:rPr>
            </w:pPr>
            <w:r>
              <w:rPr>
                <w:rFonts w:hint="eastAsia" w:ascii="宋体" w:hAnsi="宋体" w:eastAsia="宋体" w:cs="Times New Roman"/>
                <w:color w:val="000000"/>
                <w:kern w:val="0"/>
                <w:sz w:val="22"/>
              </w:rPr>
              <w:t>李珩</w:t>
            </w:r>
            <w:r>
              <w:rPr>
                <w:rFonts w:ascii="Times New Roman" w:hAnsi="Times New Roman" w:eastAsia="宋体" w:cs="Times New Roman"/>
                <w:color w:val="000000"/>
                <w:kern w:val="0"/>
                <w:sz w:val="22"/>
              </w:rPr>
              <w:t xml:space="preserve">   </w:t>
            </w:r>
            <w:r>
              <w:rPr>
                <w:rFonts w:hint="eastAsia" w:ascii="宋体" w:hAnsi="宋体" w:eastAsia="宋体" w:cs="Times New Roman"/>
                <w:color w:val="000000"/>
                <w:kern w:val="0"/>
                <w:sz w:val="22"/>
              </w:rPr>
              <w:t>孙文杰</w:t>
            </w:r>
          </w:p>
        </w:tc>
        <w:tc>
          <w:tcPr>
            <w:tcW w:w="965" w:type="dxa"/>
            <w:vAlign w:val="center"/>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w:t>
            </w:r>
          </w:p>
        </w:tc>
        <w:tc>
          <w:tcPr>
            <w:tcW w:w="986" w:type="dxa"/>
            <w:vAlign w:val="center"/>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44.7</w:t>
            </w:r>
          </w:p>
        </w:tc>
        <w:tc>
          <w:tcPr>
            <w:tcW w:w="986" w:type="dxa"/>
            <w:vAlign w:val="center"/>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3.7</w:t>
            </w:r>
          </w:p>
        </w:tc>
        <w:tc>
          <w:tcPr>
            <w:tcW w:w="966" w:type="dxa"/>
            <w:vAlign w:val="center"/>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40" w:hRule="atLeast"/>
        </w:trPr>
        <w:tc>
          <w:tcPr>
            <w:tcW w:w="965" w:type="dxa"/>
            <w:vMerge w:val="restart"/>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XM-7</w:t>
            </w:r>
          </w:p>
        </w:tc>
        <w:tc>
          <w:tcPr>
            <w:tcW w:w="2852" w:type="dxa"/>
            <w:vMerge w:val="restart"/>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建成一批职业能力培养虚拟仿真实训中心（4个左右）</w:t>
            </w:r>
          </w:p>
        </w:tc>
        <w:tc>
          <w:tcPr>
            <w:tcW w:w="3391" w:type="dxa"/>
            <w:vAlign w:val="center"/>
          </w:tcPr>
          <w:p>
            <w:pPr>
              <w:widowControl/>
              <w:rPr>
                <w:rFonts w:ascii="宋体" w:hAnsi="宋体" w:eastAsia="宋体" w:cs="宋体"/>
                <w:color w:val="000000"/>
                <w:kern w:val="0"/>
                <w:sz w:val="22"/>
              </w:rPr>
            </w:pPr>
            <w:r>
              <w:rPr>
                <w:rFonts w:hint="eastAsia" w:ascii="宋体" w:hAnsi="宋体" w:eastAsia="宋体" w:cs="宋体"/>
                <w:color w:val="000000"/>
                <w:kern w:val="0"/>
                <w:sz w:val="22"/>
              </w:rPr>
              <w:t>火电厂虚拟仿真实训中心</w:t>
            </w:r>
          </w:p>
        </w:tc>
        <w:tc>
          <w:tcPr>
            <w:tcW w:w="1109"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动力系</w:t>
            </w:r>
          </w:p>
        </w:tc>
        <w:tc>
          <w:tcPr>
            <w:tcW w:w="1954" w:type="dxa"/>
            <w:vAlign w:val="center"/>
          </w:tcPr>
          <w:p>
            <w:pPr>
              <w:widowControl/>
              <w:jc w:val="center"/>
              <w:rPr>
                <w:rFonts w:ascii="Times New Roman" w:hAnsi="Times New Roman" w:eastAsia="宋体" w:cs="Times New Roman"/>
                <w:color w:val="000000"/>
                <w:kern w:val="0"/>
                <w:sz w:val="22"/>
              </w:rPr>
            </w:pPr>
            <w:r>
              <w:rPr>
                <w:rFonts w:hint="eastAsia" w:ascii="宋体" w:hAnsi="宋体" w:eastAsia="宋体" w:cs="Times New Roman"/>
                <w:color w:val="000000"/>
                <w:kern w:val="0"/>
                <w:sz w:val="22"/>
              </w:rPr>
              <w:t>李珩</w:t>
            </w:r>
            <w:r>
              <w:rPr>
                <w:rFonts w:ascii="Times New Roman" w:hAnsi="Times New Roman" w:eastAsia="宋体" w:cs="Times New Roman"/>
                <w:color w:val="000000"/>
                <w:kern w:val="0"/>
                <w:sz w:val="22"/>
              </w:rPr>
              <w:t xml:space="preserve"> </w:t>
            </w:r>
            <w:r>
              <w:rPr>
                <w:rFonts w:hint="eastAsia" w:ascii="宋体" w:hAnsi="宋体" w:eastAsia="宋体" w:cs="Times New Roman"/>
                <w:color w:val="000000"/>
                <w:kern w:val="0"/>
                <w:sz w:val="22"/>
              </w:rPr>
              <w:t>齐强</w:t>
            </w:r>
          </w:p>
        </w:tc>
        <w:tc>
          <w:tcPr>
            <w:tcW w:w="965" w:type="dxa"/>
            <w:vAlign w:val="center"/>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w:t>
            </w:r>
          </w:p>
        </w:tc>
        <w:tc>
          <w:tcPr>
            <w:tcW w:w="986" w:type="dxa"/>
            <w:vAlign w:val="center"/>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98</w:t>
            </w:r>
          </w:p>
        </w:tc>
        <w:tc>
          <w:tcPr>
            <w:tcW w:w="986" w:type="dxa"/>
            <w:vAlign w:val="center"/>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w:t>
            </w:r>
          </w:p>
        </w:tc>
        <w:tc>
          <w:tcPr>
            <w:tcW w:w="966" w:type="dxa"/>
            <w:vAlign w:val="center"/>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00" w:hRule="atLeast"/>
        </w:trPr>
        <w:tc>
          <w:tcPr>
            <w:tcW w:w="965" w:type="dxa"/>
            <w:vMerge w:val="continue"/>
            <w:vAlign w:val="center"/>
          </w:tcPr>
          <w:p>
            <w:pPr>
              <w:widowControl/>
              <w:jc w:val="left"/>
              <w:rPr>
                <w:rFonts w:ascii="Times New Roman" w:hAnsi="Times New Roman" w:eastAsia="宋体" w:cs="Times New Roman"/>
                <w:color w:val="000000"/>
                <w:kern w:val="0"/>
                <w:sz w:val="22"/>
              </w:rPr>
            </w:pPr>
          </w:p>
        </w:tc>
        <w:tc>
          <w:tcPr>
            <w:tcW w:w="2852" w:type="dxa"/>
            <w:vMerge w:val="continue"/>
            <w:vAlign w:val="center"/>
          </w:tcPr>
          <w:p>
            <w:pPr>
              <w:widowControl/>
              <w:jc w:val="left"/>
              <w:rPr>
                <w:rFonts w:ascii="宋体" w:hAnsi="宋体" w:eastAsia="宋体" w:cs="宋体"/>
                <w:color w:val="000000"/>
                <w:kern w:val="0"/>
                <w:sz w:val="22"/>
              </w:rPr>
            </w:pPr>
          </w:p>
        </w:tc>
        <w:tc>
          <w:tcPr>
            <w:tcW w:w="3391" w:type="dxa"/>
            <w:vAlign w:val="center"/>
          </w:tcPr>
          <w:p>
            <w:pPr>
              <w:widowControl/>
              <w:rPr>
                <w:rFonts w:ascii="宋体" w:hAnsi="宋体" w:eastAsia="宋体" w:cs="宋体"/>
                <w:color w:val="000000"/>
                <w:kern w:val="0"/>
                <w:sz w:val="22"/>
              </w:rPr>
            </w:pPr>
            <w:r>
              <w:rPr>
                <w:rFonts w:hint="eastAsia" w:ascii="宋体" w:hAnsi="宋体" w:eastAsia="宋体" w:cs="宋体"/>
                <w:color w:val="000000"/>
                <w:kern w:val="0"/>
                <w:sz w:val="22"/>
              </w:rPr>
              <w:t>高压电气试验虚拟仿真实训中心</w:t>
            </w:r>
          </w:p>
        </w:tc>
        <w:tc>
          <w:tcPr>
            <w:tcW w:w="1109" w:type="dxa"/>
            <w:vMerge w:val="restart"/>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技培部</w:t>
            </w:r>
          </w:p>
        </w:tc>
        <w:tc>
          <w:tcPr>
            <w:tcW w:w="1954"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王丽</w:t>
            </w:r>
          </w:p>
        </w:tc>
        <w:tc>
          <w:tcPr>
            <w:tcW w:w="965" w:type="dxa"/>
            <w:vAlign w:val="center"/>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w:t>
            </w:r>
          </w:p>
        </w:tc>
        <w:tc>
          <w:tcPr>
            <w:tcW w:w="986" w:type="dxa"/>
            <w:vAlign w:val="center"/>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97</w:t>
            </w:r>
          </w:p>
        </w:tc>
        <w:tc>
          <w:tcPr>
            <w:tcW w:w="986" w:type="dxa"/>
            <w:vAlign w:val="center"/>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w:t>
            </w:r>
          </w:p>
        </w:tc>
        <w:tc>
          <w:tcPr>
            <w:tcW w:w="966" w:type="dxa"/>
            <w:vAlign w:val="center"/>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40" w:hRule="atLeast"/>
        </w:trPr>
        <w:tc>
          <w:tcPr>
            <w:tcW w:w="965" w:type="dxa"/>
            <w:vMerge w:val="continue"/>
            <w:vAlign w:val="center"/>
          </w:tcPr>
          <w:p>
            <w:pPr>
              <w:widowControl/>
              <w:jc w:val="left"/>
              <w:rPr>
                <w:rFonts w:ascii="Times New Roman" w:hAnsi="Times New Roman" w:eastAsia="宋体" w:cs="Times New Roman"/>
                <w:color w:val="000000"/>
                <w:kern w:val="0"/>
                <w:sz w:val="22"/>
              </w:rPr>
            </w:pPr>
          </w:p>
        </w:tc>
        <w:tc>
          <w:tcPr>
            <w:tcW w:w="2852" w:type="dxa"/>
            <w:vMerge w:val="continue"/>
            <w:vAlign w:val="center"/>
          </w:tcPr>
          <w:p>
            <w:pPr>
              <w:widowControl/>
              <w:jc w:val="left"/>
              <w:rPr>
                <w:rFonts w:ascii="宋体" w:hAnsi="宋体" w:eastAsia="宋体" w:cs="宋体"/>
                <w:color w:val="000000"/>
                <w:kern w:val="0"/>
                <w:sz w:val="22"/>
              </w:rPr>
            </w:pPr>
          </w:p>
        </w:tc>
        <w:tc>
          <w:tcPr>
            <w:tcW w:w="3391" w:type="dxa"/>
            <w:vAlign w:val="center"/>
          </w:tcPr>
          <w:p>
            <w:pPr>
              <w:widowControl/>
              <w:rPr>
                <w:rFonts w:ascii="宋体" w:hAnsi="宋体" w:eastAsia="宋体" w:cs="宋体"/>
                <w:color w:val="000000"/>
                <w:kern w:val="0"/>
                <w:sz w:val="22"/>
              </w:rPr>
            </w:pPr>
            <w:r>
              <w:rPr>
                <w:rFonts w:hint="eastAsia" w:ascii="宋体" w:hAnsi="宋体" w:eastAsia="宋体" w:cs="宋体"/>
                <w:color w:val="000000"/>
                <w:kern w:val="0"/>
                <w:sz w:val="22"/>
              </w:rPr>
              <w:t>智能变电站继电保护实时仿真实训系统</w:t>
            </w:r>
          </w:p>
        </w:tc>
        <w:tc>
          <w:tcPr>
            <w:tcW w:w="1109" w:type="dxa"/>
            <w:vMerge w:val="continue"/>
            <w:vAlign w:val="center"/>
          </w:tcPr>
          <w:p>
            <w:pPr>
              <w:widowControl/>
              <w:jc w:val="left"/>
              <w:rPr>
                <w:rFonts w:ascii="宋体" w:hAnsi="宋体" w:eastAsia="宋体" w:cs="宋体"/>
                <w:color w:val="000000"/>
                <w:kern w:val="0"/>
                <w:sz w:val="22"/>
              </w:rPr>
            </w:pPr>
          </w:p>
        </w:tc>
        <w:tc>
          <w:tcPr>
            <w:tcW w:w="1954"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钟西炎</w:t>
            </w:r>
          </w:p>
        </w:tc>
        <w:tc>
          <w:tcPr>
            <w:tcW w:w="965" w:type="dxa"/>
            <w:vAlign w:val="center"/>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w:t>
            </w:r>
          </w:p>
        </w:tc>
        <w:tc>
          <w:tcPr>
            <w:tcW w:w="986" w:type="dxa"/>
            <w:vAlign w:val="center"/>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200</w:t>
            </w:r>
          </w:p>
        </w:tc>
        <w:tc>
          <w:tcPr>
            <w:tcW w:w="986" w:type="dxa"/>
            <w:vAlign w:val="center"/>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w:t>
            </w:r>
          </w:p>
        </w:tc>
        <w:tc>
          <w:tcPr>
            <w:tcW w:w="966" w:type="dxa"/>
            <w:vAlign w:val="center"/>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40" w:hRule="atLeast"/>
        </w:trPr>
        <w:tc>
          <w:tcPr>
            <w:tcW w:w="965" w:type="dxa"/>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XM-18</w:t>
            </w:r>
          </w:p>
        </w:tc>
        <w:tc>
          <w:tcPr>
            <w:tcW w:w="2852" w:type="dxa"/>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开发建设一批创新创业教育专门课程（群）（50个左右）</w:t>
            </w:r>
          </w:p>
        </w:tc>
        <w:tc>
          <w:tcPr>
            <w:tcW w:w="3391" w:type="dxa"/>
            <w:vAlign w:val="center"/>
          </w:tcPr>
          <w:p>
            <w:pPr>
              <w:widowControl/>
              <w:rPr>
                <w:rFonts w:ascii="宋体" w:hAnsi="宋体" w:eastAsia="宋体" w:cs="宋体"/>
                <w:color w:val="000000"/>
                <w:kern w:val="0"/>
                <w:sz w:val="22"/>
              </w:rPr>
            </w:pPr>
            <w:r>
              <w:rPr>
                <w:rFonts w:hint="eastAsia" w:ascii="宋体" w:hAnsi="宋体" w:eastAsia="宋体" w:cs="宋体"/>
                <w:color w:val="000000"/>
                <w:kern w:val="0"/>
                <w:sz w:val="22"/>
              </w:rPr>
              <w:t>开发适合工科专业的创新创业教育课程（自筹9.6万元）</w:t>
            </w:r>
          </w:p>
        </w:tc>
        <w:tc>
          <w:tcPr>
            <w:tcW w:w="1109"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管理系</w:t>
            </w:r>
          </w:p>
        </w:tc>
        <w:tc>
          <w:tcPr>
            <w:tcW w:w="1954"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郭怀德</w:t>
            </w:r>
          </w:p>
        </w:tc>
        <w:tc>
          <w:tcPr>
            <w:tcW w:w="965" w:type="dxa"/>
            <w:vAlign w:val="top"/>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9.6</w:t>
            </w:r>
          </w:p>
        </w:tc>
        <w:tc>
          <w:tcPr>
            <w:tcW w:w="986" w:type="dxa"/>
            <w:vAlign w:val="top"/>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3.75</w:t>
            </w:r>
          </w:p>
        </w:tc>
        <w:tc>
          <w:tcPr>
            <w:tcW w:w="986" w:type="dxa"/>
            <w:vAlign w:val="top"/>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6.25</w:t>
            </w:r>
          </w:p>
        </w:tc>
        <w:tc>
          <w:tcPr>
            <w:tcW w:w="966" w:type="dxa"/>
            <w:vAlign w:val="top"/>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70" w:hRule="atLeast"/>
        </w:trPr>
        <w:tc>
          <w:tcPr>
            <w:tcW w:w="965" w:type="dxa"/>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2852" w:type="dxa"/>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3391" w:type="dxa"/>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09" w:type="dxa"/>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54" w:type="dxa"/>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65" w:type="dxa"/>
            <w:vAlign w:val="center"/>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2292</w:t>
            </w:r>
          </w:p>
        </w:tc>
        <w:tc>
          <w:tcPr>
            <w:tcW w:w="986" w:type="dxa"/>
            <w:vAlign w:val="center"/>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2699.75</w:t>
            </w:r>
          </w:p>
        </w:tc>
        <w:tc>
          <w:tcPr>
            <w:tcW w:w="986" w:type="dxa"/>
            <w:vAlign w:val="center"/>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1867.85</w:t>
            </w:r>
          </w:p>
        </w:tc>
        <w:tc>
          <w:tcPr>
            <w:tcW w:w="966" w:type="dxa"/>
            <w:vAlign w:val="center"/>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6859.6</w:t>
            </w:r>
          </w:p>
        </w:tc>
      </w:tr>
    </w:tbl>
    <w:p>
      <w:pPr>
        <w:spacing w:line="360" w:lineRule="auto"/>
        <w:jc w:val="left"/>
        <w:rPr>
          <w:rFonts w:ascii="仿宋" w:hAnsi="仿宋" w:eastAsia="仿宋" w:cs="宋体"/>
          <w:b/>
          <w:kern w:val="36"/>
          <w:sz w:val="32"/>
          <w:szCs w:val="32"/>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Tahoma">
    <w:panose1 w:val="020B0604030504040204"/>
    <w:charset w:val="00"/>
    <w:family w:val="auto"/>
    <w:pitch w:val="default"/>
    <w:sig w:usb0="61007A87" w:usb1="80000000" w:usb2="00000008"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0F3C52" w:usb2="00000016" w:usb3="00000000" w:csb0="0004001F" w:csb1="00000000"/>
  </w:font>
  <w:font w:name="Calibri">
    <w:altName w:val="Century Gothic"/>
    <w:panose1 w:val="020F0502020204030204"/>
    <w:charset w:val="00"/>
    <w:family w:val="auto"/>
    <w:pitch w:val="default"/>
    <w:sig w:usb0="E00002FF" w:usb1="4000ACFF" w:usb2="00000001" w:usb3="00000000" w:csb0="0000019F" w:csb1="00000000"/>
  </w:font>
  <w:font w:name="Cambria">
    <w:altName w:val="Palatino Linotype"/>
    <w:panose1 w:val="02040503050406030204"/>
    <w:charset w:val="00"/>
    <w:family w:val="auto"/>
    <w:pitch w:val="default"/>
    <w:sig w:usb0="E00002FF" w:usb1="400004FF" w:usb2="00000000" w:usb3="00000000" w:csb0="0000019F" w:csb1="00000000"/>
  </w:font>
  <w:font w:name="楷体">
    <w:altName w:val="楷体_GB2312"/>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altName w:val="仿宋_GB2312"/>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auto"/>
    <w:pitch w:val="default"/>
    <w:sig w:usb0="00000001" w:usb1="080E0000" w:usb2="00000010" w:usb3="00000000" w:csb0="00040000" w:csb1="00000000"/>
  </w:font>
  <w:font w:name="Century Gothic">
    <w:panose1 w:val="020B0502020202020204"/>
    <w:charset w:val="00"/>
    <w:family w:val="auto"/>
    <w:pitch w:val="default"/>
    <w:sig w:usb0="00000287" w:usb1="00000000" w:usb2="00000000" w:usb3="00000000" w:csb0="2000009F" w:csb1="DFD70000"/>
  </w:font>
  <w:font w:name="Palatino Linotype">
    <w:panose1 w:val="02040502050505030304"/>
    <w:charset w:val="00"/>
    <w:family w:val="auto"/>
    <w:pitch w:val="default"/>
    <w:sig w:usb0="E0000387" w:usb1="40000013"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Times New Roman CE">
    <w:altName w:val="Times New Roman"/>
    <w:panose1 w:val="00000000000000000000"/>
    <w:charset w:val="EE"/>
    <w:family w:val="auto"/>
    <w:pitch w:val="default"/>
    <w:sig w:usb0="00000000" w:usb1="00000000" w:usb2="00000000" w:usb3="00000000" w:csb0="00000002" w:csb1="00000000"/>
  </w:font>
  <w:font w:name="Times New Roman Cyr">
    <w:altName w:val="Times New Roman"/>
    <w:panose1 w:val="00000000000000000000"/>
    <w:charset w:val="CC"/>
    <w:family w:val="auto"/>
    <w:pitch w:val="default"/>
    <w:sig w:usb0="00000000" w:usb1="00000000" w:usb2="00000000" w:usb3="00000000" w:csb0="00000004" w:csb1="00000000"/>
  </w:font>
  <w:font w:name="Times New Roman Greek">
    <w:altName w:val="Times New Roman"/>
    <w:panose1 w:val="00000000000000000000"/>
    <w:charset w:val="A1"/>
    <w:family w:val="auto"/>
    <w:pitch w:val="default"/>
    <w:sig w:usb0="00000000" w:usb1="00000000" w:usb2="00000000" w:usb3="00000000" w:csb0="00000008" w:csb1="00000000"/>
  </w:font>
  <w:font w:name="Times New Roman Tur">
    <w:altName w:val="Times New Roman"/>
    <w:panose1 w:val="00000000000000000000"/>
    <w:charset w:val="A2"/>
    <w:family w:val="auto"/>
    <w:pitch w:val="default"/>
    <w:sig w:usb0="00000000" w:usb1="00000000" w:usb2="00000000" w:usb3="00000000" w:csb0="00000010" w:csb1="00000000"/>
  </w:font>
  <w:font w:name="Times New Roman (Hebrew)">
    <w:altName w:val="Times New Roman"/>
    <w:panose1 w:val="00000000000000000000"/>
    <w:charset w:val="B1"/>
    <w:family w:val="auto"/>
    <w:pitch w:val="default"/>
    <w:sig w:usb0="00000000" w:usb1="00000000" w:usb2="00000000" w:usb3="00000000" w:csb0="00000020" w:csb1="00000000"/>
  </w:font>
  <w:font w:name="Times New Roman (Arabic)">
    <w:altName w:val="Times New Roman"/>
    <w:panose1 w:val="00000000000000000000"/>
    <w:charset w:val="B2"/>
    <w:family w:val="auto"/>
    <w:pitch w:val="default"/>
    <w:sig w:usb0="00000000" w:usb1="00000000" w:usb2="00000000" w:usb3="00000000" w:csb0="00000040" w:csb1="00000000"/>
  </w:font>
  <w:font w:name="Times New Roman Baltic">
    <w:altName w:val="Times New Roman"/>
    <w:panose1 w:val="00000000000000000000"/>
    <w:charset w:val="BA"/>
    <w:family w:val="auto"/>
    <w:pitch w:val="default"/>
    <w:sig w:usb0="00000000" w:usb1="00000000" w:usb2="00000000" w:usb3="00000000" w:csb0="00000080" w:csb1="00000000"/>
  </w:font>
  <w:font w:name="Times New Roman (Vietnamese)">
    <w:altName w:val="Times New Roman"/>
    <w:panose1 w:val="00000000000000000000"/>
    <w:charset w:val="A3"/>
    <w:family w:val="auto"/>
    <w:pitch w:val="default"/>
    <w:sig w:usb0="00000000" w:usb1="00000000" w:usb2="00000000" w:usb3="00000000" w:csb0="00000100" w:csb1="00000000"/>
  </w:font>
  <w:font w:name="SimSun Western">
    <w:altName w:val="宋体"/>
    <w:panose1 w:val="00000000000000000000"/>
    <w:charset w:val="00"/>
    <w:family w:val="auto"/>
    <w:pitch w:val="default"/>
    <w:sig w:usb0="00000000" w:usb1="00000000" w:usb2="00000000" w:usb3="00000000" w:csb0="00000001" w:csb1="00000000"/>
  </w:font>
  <w:font w:name="Calibri CE">
    <w:altName w:val="Arial"/>
    <w:panose1 w:val="00000000000000000000"/>
    <w:charset w:val="EE"/>
    <w:family w:val="auto"/>
    <w:pitch w:val="default"/>
    <w:sig w:usb0="00000000" w:usb1="00000000" w:usb2="00000000" w:usb3="00000000" w:csb0="00000002" w:csb1="00000000"/>
  </w:font>
  <w:font w:name="Calibri Cyr">
    <w:altName w:val="Arial"/>
    <w:panose1 w:val="00000000000000000000"/>
    <w:charset w:val="CC"/>
    <w:family w:val="auto"/>
    <w:pitch w:val="default"/>
    <w:sig w:usb0="00000000" w:usb1="00000000" w:usb2="00000000" w:usb3="00000000" w:csb0="00000004" w:csb1="00000000"/>
  </w:font>
  <w:font w:name="Calibri Greek">
    <w:altName w:val="Arial"/>
    <w:panose1 w:val="00000000000000000000"/>
    <w:charset w:val="A1"/>
    <w:family w:val="auto"/>
    <w:pitch w:val="default"/>
    <w:sig w:usb0="00000000" w:usb1="00000000" w:usb2="00000000" w:usb3="00000000" w:csb0="00000008" w:csb1="00000000"/>
  </w:font>
  <w:font w:name="Calibri Tur">
    <w:altName w:val="Arial"/>
    <w:panose1 w:val="00000000000000000000"/>
    <w:charset w:val="A2"/>
    <w:family w:val="auto"/>
    <w:pitch w:val="default"/>
    <w:sig w:usb0="00000000" w:usb1="00000000" w:usb2="00000000" w:usb3="00000000" w:csb0="00000010" w:csb1="00000000"/>
  </w:font>
  <w:font w:name="Calibri Baltic">
    <w:altName w:val="Arial"/>
    <w:panose1 w:val="00000000000000000000"/>
    <w:charset w:val="BA"/>
    <w:family w:val="auto"/>
    <w:pitch w:val="default"/>
    <w:sig w:usb0="00000000" w:usb1="00000000" w:usb2="00000000" w:usb3="00000000" w:csb0="00000080" w:csb1="00000000"/>
  </w:font>
  <w:font w:name="Calibri (Vietnamese)">
    <w:altName w:val="Arial"/>
    <w:panose1 w:val="00000000000000000000"/>
    <w:charset w:val="A3"/>
    <w:family w:val="auto"/>
    <w:pitch w:val="default"/>
    <w:sig w:usb0="00000000" w:usb1="00000000" w:usb2="00000000" w:usb3="00000000" w:csb0="00000100" w:csb1="00000000"/>
  </w:font>
  <w:font w:name="Verdana">
    <w:panose1 w:val="020B0604030504040204"/>
    <w:charset w:val="00"/>
    <w:family w:val="auto"/>
    <w:pitch w:val="default"/>
    <w:sig w:usb0="00000287" w:usb1="00000000" w:usb2="00000000" w:usb3="00000000" w:csb0="2000019F" w:csb1="00000000"/>
  </w:font>
  <w:font w:name="华文仿宋">
    <w:altName w:val="仿宋_GB2312"/>
    <w:panose1 w:val="02010600040101010101"/>
    <w:charset w:val="86"/>
    <w:family w:val="auto"/>
    <w:pitch w:val="default"/>
    <w:sig w:usb0="00000287" w:usb1="080F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99" w:semiHidden="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6"/>
    <w:qFormat/>
    <w:uiPriority w:val="0"/>
    <w:pPr>
      <w:keepNext/>
      <w:keepLines/>
      <w:spacing w:before="260" w:after="260" w:line="415" w:lineRule="auto"/>
      <w:ind w:firstLine="200" w:firstLineChars="200"/>
      <w:outlineLvl w:val="1"/>
    </w:pPr>
    <w:rPr>
      <w:rFonts w:ascii="Cambria" w:hAnsi="Cambria" w:eastAsia="楷体" w:cs="Times New Roman"/>
      <w:bCs/>
      <w:kern w:val="0"/>
      <w:sz w:val="32"/>
      <w:szCs w:val="32"/>
    </w:rPr>
  </w:style>
  <w:style w:type="paragraph" w:styleId="3">
    <w:name w:val="heading 3"/>
    <w:basedOn w:val="1"/>
    <w:next w:val="1"/>
    <w:link w:val="17"/>
    <w:qFormat/>
    <w:uiPriority w:val="0"/>
    <w:pPr>
      <w:keepNext/>
      <w:keepLines/>
      <w:spacing w:before="20" w:after="20" w:line="415" w:lineRule="auto"/>
      <w:ind w:firstLine="200" w:firstLineChars="200"/>
      <w:outlineLvl w:val="2"/>
    </w:pPr>
    <w:rPr>
      <w:rFonts w:ascii="Calibri" w:hAnsi="Calibri" w:eastAsia="仿宋_GB2312" w:cs="Times New Roman"/>
      <w:b/>
      <w:bCs/>
      <w:kern w:val="0"/>
      <w:sz w:val="32"/>
      <w:szCs w:val="32"/>
    </w:rPr>
  </w:style>
  <w:style w:type="character" w:default="1" w:styleId="8">
    <w:name w:val="Default Paragraph Font"/>
    <w:semiHidden/>
    <w:unhideWhenUsed/>
    <w:uiPriority w:val="1"/>
  </w:style>
  <w:style w:type="paragraph" w:styleId="4">
    <w:name w:val="annotation text"/>
    <w:basedOn w:val="1"/>
    <w:link w:val="18"/>
    <w:unhideWhenUsed/>
    <w:uiPriority w:val="99"/>
    <w:pPr>
      <w:jc w:val="left"/>
    </w:pPr>
    <w:rPr>
      <w:rFonts w:ascii="Times New Roman" w:hAnsi="Times New Roman" w:eastAsia="宋体" w:cs="Times New Roman"/>
      <w:szCs w:val="24"/>
    </w:rPr>
  </w:style>
  <w:style w:type="paragraph" w:styleId="5">
    <w:name w:val="footer"/>
    <w:basedOn w:val="1"/>
    <w:link w:val="20"/>
    <w:unhideWhenUsed/>
    <w:uiPriority w:val="99"/>
    <w:pPr>
      <w:tabs>
        <w:tab w:val="center" w:pos="4153"/>
        <w:tab w:val="right" w:pos="8306"/>
      </w:tabs>
      <w:snapToGrid w:val="0"/>
      <w:jc w:val="left"/>
    </w:pPr>
    <w:rPr>
      <w:sz w:val="18"/>
      <w:szCs w:val="18"/>
    </w:rPr>
  </w:style>
  <w:style w:type="paragraph" w:styleId="6">
    <w:name w:val="header"/>
    <w:basedOn w:val="1"/>
    <w:link w:val="19"/>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page number"/>
    <w:basedOn w:val="8"/>
    <w:semiHidden/>
    <w:unhideWhenUsed/>
    <w:uiPriority w:val="0"/>
    <w:rPr/>
  </w:style>
  <w:style w:type="paragraph" w:customStyle="1" w:styleId="10">
    <w:name w:val="List Paragraph"/>
    <w:basedOn w:val="1"/>
    <w:qFormat/>
    <w:uiPriority w:val="99"/>
    <w:pPr>
      <w:ind w:firstLine="420" w:firstLineChars="200"/>
    </w:pPr>
  </w:style>
  <w:style w:type="paragraph" w:customStyle="1" w:styleId="11">
    <w:name w:val="p0"/>
    <w:basedOn w:val="1"/>
    <w:uiPriority w:val="0"/>
    <w:pPr>
      <w:widowControl/>
    </w:pPr>
    <w:rPr>
      <w:rFonts w:ascii="Times New Roman" w:hAnsi="Times New Roman" w:eastAsia="宋体" w:cs="Times New Roman"/>
      <w:kern w:val="0"/>
      <w:szCs w:val="20"/>
    </w:rPr>
  </w:style>
  <w:style w:type="paragraph" w:customStyle="1" w:styleId="12">
    <w:name w:val="p18"/>
    <w:basedOn w:val="1"/>
    <w:link w:val="15"/>
    <w:uiPriority w:val="0"/>
    <w:pPr>
      <w:widowControl/>
    </w:pPr>
    <w:rPr>
      <w:rFonts w:eastAsia="宋体"/>
    </w:rPr>
  </w:style>
  <w:style w:type="paragraph" w:customStyle="1" w:styleId="13">
    <w:name w:val="普通(网站)1"/>
    <w:basedOn w:val="1"/>
    <w:uiPriority w:val="0"/>
    <w:pPr>
      <w:spacing w:before="100" w:beforeAutospacing="1" w:after="100" w:afterAutospacing="1"/>
      <w:jc w:val="left"/>
    </w:pPr>
    <w:rPr>
      <w:rFonts w:ascii="Calibri" w:hAnsi="Calibri" w:eastAsia="宋体" w:cs="Times New Roman"/>
      <w:kern w:val="0"/>
      <w:sz w:val="24"/>
      <w:szCs w:val="20"/>
    </w:rPr>
  </w:style>
  <w:style w:type="paragraph" w:customStyle="1" w:styleId="14">
    <w:name w:val="txt"/>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5">
    <w:name w:val="p18 Char"/>
    <w:basedOn w:val="8"/>
    <w:link w:val="12"/>
    <w:uiPriority w:val="0"/>
    <w:rPr>
      <w:rFonts w:eastAsia="宋体"/>
    </w:rPr>
  </w:style>
  <w:style w:type="character" w:customStyle="1" w:styleId="16">
    <w:name w:val="标题 2 Char"/>
    <w:basedOn w:val="8"/>
    <w:link w:val="2"/>
    <w:uiPriority w:val="0"/>
    <w:rPr>
      <w:rFonts w:ascii="Cambria" w:hAnsi="Cambria" w:eastAsia="楷体" w:cs="Times New Roman"/>
      <w:bCs/>
      <w:kern w:val="0"/>
      <w:sz w:val="32"/>
      <w:szCs w:val="32"/>
    </w:rPr>
  </w:style>
  <w:style w:type="character" w:customStyle="1" w:styleId="17">
    <w:name w:val="标题 3 Char"/>
    <w:basedOn w:val="8"/>
    <w:link w:val="3"/>
    <w:uiPriority w:val="0"/>
    <w:rPr>
      <w:rFonts w:ascii="Calibri" w:hAnsi="Calibri" w:eastAsia="仿宋_GB2312" w:cs="Times New Roman"/>
      <w:b/>
      <w:bCs/>
      <w:kern w:val="0"/>
      <w:sz w:val="32"/>
      <w:szCs w:val="32"/>
    </w:rPr>
  </w:style>
  <w:style w:type="character" w:customStyle="1" w:styleId="18">
    <w:name w:val="批注文字 Char"/>
    <w:basedOn w:val="8"/>
    <w:link w:val="4"/>
    <w:uiPriority w:val="99"/>
    <w:rPr>
      <w:rFonts w:ascii="Times New Roman" w:hAnsi="Times New Roman" w:eastAsia="宋体" w:cs="Times New Roman"/>
      <w:szCs w:val="24"/>
    </w:rPr>
  </w:style>
  <w:style w:type="character" w:customStyle="1" w:styleId="19">
    <w:name w:val="页眉 Char"/>
    <w:basedOn w:val="8"/>
    <w:link w:val="6"/>
    <w:uiPriority w:val="99"/>
    <w:rPr>
      <w:sz w:val="18"/>
      <w:szCs w:val="18"/>
    </w:rPr>
  </w:style>
  <w:style w:type="character" w:customStyle="1" w:styleId="20">
    <w:name w:val="页脚 Char"/>
    <w:basedOn w:val="8"/>
    <w:link w:val="5"/>
    <w:uiPriority w:val="99"/>
    <w:rPr>
      <w:sz w:val="18"/>
      <w:szCs w:val="18"/>
    </w:rPr>
  </w:style>
  <w:style w:type="character" w:customStyle="1" w:styleId="21">
    <w:name w:val="已访问的超链接1"/>
    <w:basedOn w:val="8"/>
    <w:uiPriority w:val="0"/>
    <w:rPr>
      <w:color w:val="000000"/>
      <w:u w:val="none"/>
    </w:rPr>
  </w:style>
  <w:style w:type="character" w:customStyle="1" w:styleId="22">
    <w:name w:val="页码1"/>
    <w:basedOn w:val="8"/>
    <w:uiPriority w:val="0"/>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3317</Words>
  <Characters>18908</Characters>
  <Lines>157</Lines>
  <Paragraphs>44</Paragraphs>
  <ScaleCrop>false</ScaleCrop>
  <LinksUpToDate>false</LinksUpToDate>
  <CharactersWithSpaces>0</CharactersWithSpaces>
  <Application>WPS Office 专业版_9.1.0.4475_{F1E327BC-269C-435d-A152-05C5408002CA}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2016-10-23T07:16:00Z</dcterms:created>
  <dc:creator>jwc2</dc:creator>
  <cp:lastModifiedBy>崔安平</cp:lastModifiedBy>
  <dcterms:modified xsi:type="dcterms:W3CDTF">2016-10-24T12:18:54Z</dcterms:modified>
  <dc:title>西安电力高等专科学校</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2052-9.1.0.4475</vt:lpwstr>
  </property>
</Properties>
</file>